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仿宋_GB2312"/>
          <w:sz w:val="32"/>
          <w:szCs w:val="32"/>
        </w:rPr>
      </w:pPr>
      <w:r>
        <w:rPr>
          <w:rFonts w:hint="eastAsia" w:ascii="黑体" w:hAnsi="黑体" w:eastAsia="黑体" w:cs="仿宋_GB2312"/>
          <w:sz w:val="32"/>
          <w:szCs w:val="32"/>
        </w:rPr>
        <w:t>附件</w:t>
      </w:r>
    </w:p>
    <w:p>
      <w:pPr>
        <w:spacing w:line="500" w:lineRule="exact"/>
        <w:rPr>
          <w:rFonts w:ascii="仿宋_GB2312" w:hAnsi="仿宋_GB2312" w:eastAsia="仿宋_GB2312" w:cs="仿宋_GB2312"/>
          <w:sz w:val="32"/>
          <w:szCs w:val="32"/>
        </w:rPr>
      </w:pPr>
    </w:p>
    <w:p>
      <w:pPr>
        <w:spacing w:line="500" w:lineRule="exact"/>
        <w:jc w:val="center"/>
        <w:rPr>
          <w:rFonts w:ascii="方正小标宋简体" w:hAnsi="仿宋_GB2312" w:eastAsia="方正小标宋简体" w:cs="仿宋_GB2312"/>
          <w:sz w:val="44"/>
          <w:szCs w:val="44"/>
        </w:rPr>
      </w:pPr>
      <w:r>
        <w:rPr>
          <w:rFonts w:hint="eastAsia" w:ascii="方正小标宋简体" w:eastAsia="方正小标宋简体" w:cs="仿宋_GB2312"/>
          <w:sz w:val="44"/>
          <w:szCs w:val="44"/>
        </w:rPr>
        <w:t>单列门诊统筹支付药品目录</w:t>
      </w:r>
    </w:p>
    <w:p>
      <w:pPr>
        <w:spacing w:line="500" w:lineRule="exact"/>
        <w:rPr>
          <w:rFonts w:ascii="仿宋_GB2312" w:hAnsi="仿宋_GB2312" w:eastAsia="仿宋_GB2312" w:cs="仿宋_GB2312"/>
          <w:sz w:val="32"/>
          <w:szCs w:val="32"/>
        </w:rPr>
      </w:pPr>
    </w:p>
    <w:tbl>
      <w:tblPr>
        <w:tblStyle w:val="6"/>
        <w:tblW w:w="14034" w:type="dxa"/>
        <w:tblInd w:w="108" w:type="dxa"/>
        <w:tblLayout w:type="autofit"/>
        <w:tblCellMar>
          <w:top w:w="0" w:type="dxa"/>
          <w:left w:w="108" w:type="dxa"/>
          <w:bottom w:w="0" w:type="dxa"/>
          <w:right w:w="108" w:type="dxa"/>
        </w:tblCellMar>
      </w:tblPr>
      <w:tblGrid>
        <w:gridCol w:w="851"/>
        <w:gridCol w:w="3685"/>
        <w:gridCol w:w="1276"/>
        <w:gridCol w:w="8222"/>
      </w:tblGrid>
      <w:tr>
        <w:tblPrEx>
          <w:tblCellMar>
            <w:top w:w="0" w:type="dxa"/>
            <w:left w:w="108" w:type="dxa"/>
            <w:bottom w:w="0" w:type="dxa"/>
            <w:right w:w="108" w:type="dxa"/>
          </w:tblCellMar>
        </w:tblPrEx>
        <w:trPr>
          <w:trHeight w:val="600"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序号</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药品名称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剂型</w:t>
            </w:r>
          </w:p>
        </w:tc>
        <w:tc>
          <w:tcPr>
            <w:tcW w:w="822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单列门诊统筹支付限定支付范围</w:t>
            </w:r>
          </w:p>
        </w:tc>
      </w:tr>
      <w:tr>
        <w:tblPrEx>
          <w:tblCellMar>
            <w:top w:w="0" w:type="dxa"/>
            <w:left w:w="108" w:type="dxa"/>
            <w:bottom w:w="0" w:type="dxa"/>
            <w:right w:w="108" w:type="dxa"/>
          </w:tblCellMar>
        </w:tblPrEx>
        <w:trPr>
          <w:trHeight w:val="2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注射用重组人凝血因子Ⅶa</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用于下列患者群体出血的治疗，以及外科手术或有创操作出血的防治：</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1.先天性凝血因子VII（FVII）缺乏症患者；2.具有血小板膜糖蛋白IIb－IIIa（GPIIb－IIIa）和/或人白细胞抗原（HLA）抗体和既往或现在对血小板输注无效或不佳的血小板无力症患者。</w:t>
            </w:r>
          </w:p>
        </w:tc>
      </w:tr>
      <w:tr>
        <w:tblPrEx>
          <w:tblCellMar>
            <w:top w:w="0" w:type="dxa"/>
            <w:left w:w="108" w:type="dxa"/>
            <w:bottom w:w="0" w:type="dxa"/>
            <w:right w:w="108" w:type="dxa"/>
          </w:tblCellMar>
        </w:tblPrEx>
        <w:trPr>
          <w:trHeight w:val="113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伊布替尼胶囊</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限华氏巨球蛋白血症患者的治疗，按说明书用药。</w:t>
            </w:r>
          </w:p>
        </w:tc>
      </w:tr>
      <w:tr>
        <w:tblPrEx>
          <w:tblCellMar>
            <w:top w:w="0" w:type="dxa"/>
            <w:left w:w="108" w:type="dxa"/>
            <w:bottom w:w="0" w:type="dxa"/>
            <w:right w:w="108" w:type="dxa"/>
          </w:tblCellMar>
        </w:tblPrEx>
        <w:trPr>
          <w:trHeight w:val="169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3</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磷酸芦可替尼片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限中危或高危的原发性骨髓纤维化（PMF）、真性红细胞增多症继发的骨髓纤维化（PPV-MF）或原发性血小板增多症继发的骨髓纤维化（PET-MF）的患者。</w:t>
            </w:r>
          </w:p>
        </w:tc>
      </w:tr>
      <w:tr>
        <w:tblPrEx>
          <w:tblCellMar>
            <w:top w:w="0" w:type="dxa"/>
            <w:left w:w="108" w:type="dxa"/>
            <w:bottom w:w="0" w:type="dxa"/>
            <w:right w:w="108" w:type="dxa"/>
          </w:tblCellMar>
        </w:tblPrEx>
        <w:trPr>
          <w:trHeight w:val="106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4</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醋酸戈舍瑞林缓释植入剂</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限子宫内膜异位症。</w:t>
            </w:r>
          </w:p>
        </w:tc>
      </w:tr>
      <w:tr>
        <w:tblPrEx>
          <w:tblCellMar>
            <w:top w:w="0" w:type="dxa"/>
            <w:left w:w="108" w:type="dxa"/>
            <w:bottom w:w="0" w:type="dxa"/>
            <w:right w:w="108" w:type="dxa"/>
          </w:tblCellMar>
        </w:tblPrEx>
        <w:trPr>
          <w:trHeight w:val="170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5</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依维莫司片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限以下情况方可支付：1.不需立即手术治疗的结节性硬化症相关的肾血管平滑肌脂肪瘤（TSC-AML)成人患者。2.不能手术的结节性硬化症相关的室管膜下巨细胞星型细胞瘤的患者。</w:t>
            </w:r>
          </w:p>
        </w:tc>
      </w:tr>
      <w:tr>
        <w:tblPrEx>
          <w:tblCellMar>
            <w:top w:w="0" w:type="dxa"/>
            <w:left w:w="108" w:type="dxa"/>
            <w:bottom w:w="0" w:type="dxa"/>
            <w:right w:w="108" w:type="dxa"/>
          </w:tblCellMar>
        </w:tblPrEx>
        <w:trPr>
          <w:trHeight w:val="98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6</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注射用醋酸奥曲肽微球</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限肢端肥大症，按说明书用药。</w:t>
            </w:r>
          </w:p>
        </w:tc>
      </w:tr>
      <w:tr>
        <w:tblPrEx>
          <w:tblCellMar>
            <w:top w:w="0" w:type="dxa"/>
            <w:left w:w="108" w:type="dxa"/>
            <w:bottom w:w="0" w:type="dxa"/>
            <w:right w:w="108" w:type="dxa"/>
          </w:tblCellMar>
        </w:tblPrEx>
        <w:trPr>
          <w:trHeight w:val="112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7</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醋酸兰瑞肽缓释注射液（预充式）</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限肢端肥大症，按说明书用药。</w:t>
            </w:r>
          </w:p>
        </w:tc>
      </w:tr>
      <w:tr>
        <w:tblPrEx>
          <w:tblCellMar>
            <w:top w:w="0" w:type="dxa"/>
            <w:left w:w="108" w:type="dxa"/>
            <w:bottom w:w="0" w:type="dxa"/>
            <w:right w:w="108" w:type="dxa"/>
          </w:tblCellMar>
        </w:tblPrEx>
        <w:trPr>
          <w:trHeight w:val="110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8</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注射用英夫利西单抗</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限以下情况方可支付：1.克罗恩病患者的二线治疗。2.中重度溃疡性结肠炎患者的二线治疗。</w:t>
            </w:r>
          </w:p>
        </w:tc>
      </w:tr>
      <w:tr>
        <w:tblPrEx>
          <w:tblCellMar>
            <w:top w:w="0" w:type="dxa"/>
            <w:left w:w="108" w:type="dxa"/>
            <w:bottom w:w="0" w:type="dxa"/>
            <w:right w:w="108" w:type="dxa"/>
          </w:tblCellMar>
        </w:tblPrEx>
        <w:trPr>
          <w:trHeight w:val="128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9</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马来酸阿伐曲泊帕片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限择期行诊断性操作或者手术的慢性肝病相关血小板减少症的成年患者。</w:t>
            </w:r>
          </w:p>
        </w:tc>
      </w:tr>
      <w:tr>
        <w:tblPrEx>
          <w:tblCellMar>
            <w:top w:w="0" w:type="dxa"/>
            <w:left w:w="108" w:type="dxa"/>
            <w:bottom w:w="0" w:type="dxa"/>
            <w:right w:w="108" w:type="dxa"/>
          </w:tblCellMar>
        </w:tblPrEx>
        <w:trPr>
          <w:trHeight w:val="489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10</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阿达木单抗</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注射剂</w:t>
            </w:r>
          </w:p>
        </w:tc>
        <w:tc>
          <w:tcPr>
            <w:tcW w:w="8222"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仿宋" w:eastAsia="仿宋_GB2312" w:cs="宋体"/>
                <w:kern w:val="0"/>
                <w:sz w:val="28"/>
                <w:szCs w:val="28"/>
              </w:rPr>
            </w:pPr>
            <w:r>
              <w:rPr>
                <w:rFonts w:hint="eastAsia" w:ascii="仿宋_GB2312" w:hAnsi="仿宋" w:eastAsia="仿宋_GB2312" w:cs="宋体"/>
                <w:kern w:val="0"/>
                <w:sz w:val="28"/>
                <w:szCs w:val="28"/>
              </w:rPr>
              <w:t>1.克罗恩病。用于充足皮质类固醇和/或免疫抑制治疗应答不充分、不耐受或禁忌的中重度活动性克罗恩病成年患者。2.葡萄膜炎。本品适用于治疗对糖皮质激素应答不充分、需要节制使用糖皮质激素、或不适合进行糖皮质激素治疗的成年非感染性中间葡萄膜炎、后葡萄膜炎和全葡萄膜炎患者。3.多关节型幼年特发性关节炎。本品与甲氨蝶呤合用，用于治疗对一种或多种改善病情抗风湿药（DMARDs）疗效不佳的2岁及2岁以上活动性多关节型幼年特发性关节炎患者。当患者无法耐受甲氨蝶呤治疗，或者连续使用甲氨蝶呤治疗效果不佳时，本品可作为单药治疗。本品尚未在此适应症的2岁以下患儿中进行过研究。4.儿童克罗恩病：本品适用于对糖皮质激素或免疫调节剂（例如:硫唑嘌呤、6-巯基嘌呤、甲氨蝶呤）应答不足的6岁及以上的中重度活动性克罗恩病的患儿减轻症状和体征，诱导和维持临床缓解。</w:t>
            </w:r>
          </w:p>
        </w:tc>
      </w:tr>
      <w:tr>
        <w:tblPrEx>
          <w:tblCellMar>
            <w:top w:w="0" w:type="dxa"/>
            <w:left w:w="108" w:type="dxa"/>
            <w:bottom w:w="0" w:type="dxa"/>
            <w:right w:w="108" w:type="dxa"/>
          </w:tblCellMar>
        </w:tblPrEx>
        <w:trPr>
          <w:trHeight w:val="113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11</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乙磺酸尼达尼布软胶囊</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限特发性肺纤维化（IPF）或系统性硬化病相关间质性肺疾病（SSc-ILD）患者。</w:t>
            </w:r>
          </w:p>
        </w:tc>
      </w:tr>
      <w:tr>
        <w:tblPrEx>
          <w:tblCellMar>
            <w:top w:w="0" w:type="dxa"/>
            <w:left w:w="108" w:type="dxa"/>
            <w:bottom w:w="0" w:type="dxa"/>
            <w:right w:w="108" w:type="dxa"/>
          </w:tblCellMar>
        </w:tblPrEx>
        <w:trPr>
          <w:trHeight w:val="12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12</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乌司奴单抗注射液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克罗恩病：本品适用于对传统治疗或肿瘤坏死因子α（TNF-α）拮抗剂应答不足、失应答或无法耐受的成年中重度活动性克罗恩病患者。</w:t>
            </w:r>
          </w:p>
        </w:tc>
      </w:tr>
      <w:tr>
        <w:tblPrEx>
          <w:tblCellMar>
            <w:top w:w="0" w:type="dxa"/>
            <w:left w:w="108" w:type="dxa"/>
            <w:bottom w:w="0" w:type="dxa"/>
            <w:right w:w="108" w:type="dxa"/>
          </w:tblCellMar>
        </w:tblPrEx>
        <w:trPr>
          <w:trHeight w:val="92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13</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注射用维得利珠单抗</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限中度至重度活动性溃疡性结肠炎的二线用药或中度至重度活动性克罗恩病的二线用药。</w:t>
            </w:r>
          </w:p>
        </w:tc>
      </w:tr>
      <w:tr>
        <w:tblPrEx>
          <w:tblCellMar>
            <w:top w:w="0" w:type="dxa"/>
            <w:left w:w="108" w:type="dxa"/>
            <w:bottom w:w="0" w:type="dxa"/>
            <w:right w:w="108" w:type="dxa"/>
          </w:tblCellMar>
        </w:tblPrEx>
        <w:trPr>
          <w:trHeight w:val="112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14</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乌司奴单抗注射液(静脉输注)</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本品适用于对传统治疗或肿瘤坏死因子α（TNF-α）拮抗剂应答不足、失应答或无法耐受的成年中重度活动性克罗恩病患者。</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15</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注射用阿替普酶</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限急性心肌梗死发病12小时内、脑梗死发病3小时内的溶栓治疗，超过说明书规定用药时限的不予支付。</w:t>
            </w:r>
          </w:p>
        </w:tc>
      </w:tr>
      <w:tr>
        <w:tblPrEx>
          <w:tblCellMar>
            <w:top w:w="0" w:type="dxa"/>
            <w:left w:w="108" w:type="dxa"/>
            <w:bottom w:w="0" w:type="dxa"/>
            <w:right w:w="108" w:type="dxa"/>
          </w:tblCellMar>
        </w:tblPrEx>
        <w:trPr>
          <w:trHeight w:val="99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16</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甲苯磺酸艾多沙班片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限华法林治疗控制不良或出血高危的深静脉血栓、肺栓塞患者。</w:t>
            </w:r>
          </w:p>
        </w:tc>
      </w:tr>
      <w:tr>
        <w:tblPrEx>
          <w:tblCellMar>
            <w:top w:w="0" w:type="dxa"/>
            <w:left w:w="108" w:type="dxa"/>
            <w:bottom w:w="0" w:type="dxa"/>
            <w:right w:w="108" w:type="dxa"/>
          </w:tblCellMar>
        </w:tblPrEx>
        <w:trPr>
          <w:trHeight w:val="12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17</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氯苯唑酸软胶囊</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本品适用于治疗成人野生型或遗传型转甲状腺素蛋白淀粉样变性心肌病（ATTR-CM），以减少心血管死亡及心血管相关住院。</w:t>
            </w:r>
          </w:p>
        </w:tc>
      </w:tr>
      <w:tr>
        <w:tblPrEx>
          <w:tblCellMar>
            <w:top w:w="0" w:type="dxa"/>
            <w:left w:w="108" w:type="dxa"/>
            <w:bottom w:w="0" w:type="dxa"/>
            <w:right w:w="108" w:type="dxa"/>
          </w:tblCellMar>
        </w:tblPrEx>
        <w:trPr>
          <w:trHeight w:val="111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18</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度普利尤单抗注射液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限对传统治疗无效、有禁忌或不耐受的中重度特应性皮炎患者，需按说明书用药。</w:t>
            </w:r>
          </w:p>
        </w:tc>
      </w:tr>
      <w:tr>
        <w:tblPrEx>
          <w:tblCellMar>
            <w:top w:w="0" w:type="dxa"/>
            <w:left w:w="108" w:type="dxa"/>
            <w:bottom w:w="0" w:type="dxa"/>
            <w:right w:w="108" w:type="dxa"/>
          </w:tblCellMar>
        </w:tblPrEx>
        <w:trPr>
          <w:trHeight w:val="127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19</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注射用两性霉素B胆固醇硫酸酯复合物</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本品适用于患有深部真菌感染的患者；因肾损伤或药物毒性而不能使用有效剂量的两性霉素B的患者，或已经接受过两性霉素B治疗无效的患者均可使用。</w:t>
            </w:r>
          </w:p>
        </w:tc>
      </w:tr>
      <w:tr>
        <w:tblPrEx>
          <w:tblCellMar>
            <w:top w:w="0" w:type="dxa"/>
            <w:left w:w="108" w:type="dxa"/>
            <w:bottom w:w="0" w:type="dxa"/>
            <w:right w:w="108" w:type="dxa"/>
          </w:tblCellMar>
        </w:tblPrEx>
        <w:trPr>
          <w:trHeight w:val="7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20</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克立硼罗软膏</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适用于2岁及以上轻度至中度特应性皮炎患者的局部外用治疗。</w:t>
            </w:r>
          </w:p>
        </w:tc>
      </w:tr>
      <w:tr>
        <w:tblPrEx>
          <w:tblCellMar>
            <w:top w:w="0" w:type="dxa"/>
            <w:left w:w="108" w:type="dxa"/>
            <w:bottom w:w="0" w:type="dxa"/>
            <w:right w:w="108" w:type="dxa"/>
          </w:tblCellMar>
        </w:tblPrEx>
        <w:trPr>
          <w:trHeight w:val="99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21</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泊沙康唑口服混悬液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限以下情况方可支付：1.伊曲康唑或氟康唑难治性口咽念珠菌病。2.接合菌纲类感染。</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22</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麦格司他胶囊</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限C型尼曼匹克病患者。</w:t>
            </w:r>
          </w:p>
        </w:tc>
      </w:tr>
      <w:tr>
        <w:tblPrEx>
          <w:tblCellMar>
            <w:top w:w="0" w:type="dxa"/>
            <w:left w:w="108" w:type="dxa"/>
            <w:bottom w:w="0" w:type="dxa"/>
            <w:right w:w="108" w:type="dxa"/>
          </w:tblCellMar>
        </w:tblPrEx>
        <w:trPr>
          <w:trHeight w:val="69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23</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诺西那生钠注射液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本品用于治疗5q脊髓性肌萎缩症。</w:t>
            </w:r>
          </w:p>
        </w:tc>
      </w:tr>
      <w:tr>
        <w:tblPrEx>
          <w:tblCellMar>
            <w:top w:w="0" w:type="dxa"/>
            <w:left w:w="108" w:type="dxa"/>
            <w:bottom w:w="0" w:type="dxa"/>
            <w:right w:w="108" w:type="dxa"/>
          </w:tblCellMar>
        </w:tblPrEx>
        <w:trPr>
          <w:trHeight w:val="83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24</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特立氟胺片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限常规治疗无效的多发性硬化患者。</w:t>
            </w:r>
          </w:p>
        </w:tc>
      </w:tr>
      <w:tr>
        <w:tblPrEx>
          <w:tblCellMar>
            <w:top w:w="0" w:type="dxa"/>
            <w:left w:w="108" w:type="dxa"/>
            <w:bottom w:w="0" w:type="dxa"/>
            <w:right w:w="108" w:type="dxa"/>
          </w:tblCellMar>
        </w:tblPrEx>
        <w:trPr>
          <w:trHeight w:val="84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25</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西尼莫德片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限成人复发型多发性硬化的患者。</w:t>
            </w:r>
          </w:p>
        </w:tc>
      </w:tr>
      <w:tr>
        <w:tblPrEx>
          <w:tblCellMar>
            <w:top w:w="0" w:type="dxa"/>
            <w:left w:w="108" w:type="dxa"/>
            <w:bottom w:w="0" w:type="dxa"/>
            <w:right w:w="108" w:type="dxa"/>
          </w:tblCellMar>
        </w:tblPrEx>
        <w:trPr>
          <w:trHeight w:val="84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26</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盐酸芬戈莫德胶囊</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限10岁及以上患者复发型多发性硬化（RMS）的患者。</w:t>
            </w:r>
          </w:p>
        </w:tc>
      </w:tr>
      <w:tr>
        <w:tblPrEx>
          <w:tblCellMar>
            <w:top w:w="0" w:type="dxa"/>
            <w:left w:w="108" w:type="dxa"/>
            <w:bottom w:w="0" w:type="dxa"/>
            <w:right w:w="108" w:type="dxa"/>
          </w:tblCellMar>
        </w:tblPrEx>
        <w:trPr>
          <w:trHeight w:val="84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27</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氘丁苯那嗪片</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限与亨廷顿病有关的舞蹈病或成人迟发性运动障碍。</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28</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依达拉奉氯化钠注射液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限肌萎缩侧索硬化（ALS）的患者。</w:t>
            </w:r>
          </w:p>
        </w:tc>
      </w:tr>
      <w:tr>
        <w:tblPrEx>
          <w:tblCellMar>
            <w:top w:w="0" w:type="dxa"/>
            <w:left w:w="108" w:type="dxa"/>
            <w:bottom w:w="0" w:type="dxa"/>
            <w:right w:w="108" w:type="dxa"/>
          </w:tblCellMar>
        </w:tblPrEx>
        <w:trPr>
          <w:trHeight w:val="163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29</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阿加糖酶α注射用浓溶液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本品用于确诊为法布雷病（α-半乳糖苷酶A缺乏症）患者的长期酶替代治疗。本品适用于成人、儿童和青少年。尚未确定本品在0-6岁儿童中的安全性和有效性。</w:t>
            </w:r>
          </w:p>
        </w:tc>
      </w:tr>
      <w:tr>
        <w:tblPrEx>
          <w:tblCellMar>
            <w:top w:w="0" w:type="dxa"/>
            <w:left w:w="108" w:type="dxa"/>
            <w:bottom w:w="0" w:type="dxa"/>
            <w:right w:w="108" w:type="dxa"/>
          </w:tblCellMar>
        </w:tblPrEx>
        <w:trPr>
          <w:trHeight w:val="255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30</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地塞米松玻璃体内植入剂</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r>
      <w:tr>
        <w:tblPrEx>
          <w:tblCellMar>
            <w:top w:w="0" w:type="dxa"/>
            <w:left w:w="108" w:type="dxa"/>
            <w:bottom w:w="0" w:type="dxa"/>
            <w:right w:w="108" w:type="dxa"/>
          </w:tblCellMar>
        </w:tblPrEx>
        <w:trPr>
          <w:trHeight w:val="353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31</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康柏西普眼用注射液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r>
      <w:tr>
        <w:tblPrEx>
          <w:tblCellMar>
            <w:top w:w="0" w:type="dxa"/>
            <w:left w:w="108" w:type="dxa"/>
            <w:bottom w:w="0" w:type="dxa"/>
            <w:right w:w="108" w:type="dxa"/>
          </w:tblCellMar>
        </w:tblPrEx>
        <w:trPr>
          <w:trHeight w:val="30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32</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阿柏西普眼内注射溶液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r>
      <w:tr>
        <w:tblPrEx>
          <w:tblCellMar>
            <w:top w:w="0" w:type="dxa"/>
            <w:left w:w="108" w:type="dxa"/>
            <w:bottom w:w="0" w:type="dxa"/>
            <w:right w:w="108" w:type="dxa"/>
          </w:tblCellMar>
        </w:tblPrEx>
        <w:trPr>
          <w:trHeight w:val="37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33</w:t>
            </w:r>
          </w:p>
        </w:tc>
        <w:tc>
          <w:tcPr>
            <w:tcW w:w="3685"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雷珠单抗注射液</w:t>
            </w:r>
          </w:p>
        </w:tc>
        <w:tc>
          <w:tcPr>
            <w:tcW w:w="1276"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8222"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r>
      <w:tr>
        <w:tblPrEx>
          <w:tblCellMar>
            <w:top w:w="0" w:type="dxa"/>
            <w:left w:w="108" w:type="dxa"/>
            <w:bottom w:w="0" w:type="dxa"/>
            <w:right w:w="108" w:type="dxa"/>
          </w:tblCellMar>
        </w:tblPrEx>
        <w:trPr>
          <w:trHeight w:val="812" w:hRule="atLeast"/>
        </w:trPr>
        <w:tc>
          <w:tcPr>
            <w:tcW w:w="14034" w:type="dxa"/>
            <w:gridSpan w:val="4"/>
            <w:tcBorders>
              <w:top w:val="nil"/>
              <w:left w:val="nil"/>
              <w:bottom w:val="nil"/>
              <w:right w:val="nil"/>
            </w:tcBorders>
            <w:shd w:val="clear" w:color="auto" w:fill="auto"/>
            <w:noWrap/>
            <w:vAlign w:val="center"/>
          </w:tcPr>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备注：单列门诊统筹支付药品待遇与门诊特殊慢性病病种待遇不重复享受。</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eastAsia="宋体"/>
          <w:lang w:val="en-US" w:eastAsia="zh-CN"/>
        </w:rPr>
      </w:pPr>
      <w:bookmarkStart w:id="0" w:name="_GoBack"/>
      <w:bookmarkEnd w:id="0"/>
    </w:p>
    <w:sectPr>
      <w:footerReference r:id="rId3" w:type="default"/>
      <w:footerReference r:id="rId4" w:type="even"/>
      <w:pgSz w:w="16838" w:h="11906" w:orient="landscape"/>
      <w:pgMar w:top="1588" w:right="1418" w:bottom="1304" w:left="141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5E"/>
    <w:rsid w:val="00041B0F"/>
    <w:rsid w:val="00073E5E"/>
    <w:rsid w:val="002078F8"/>
    <w:rsid w:val="0026791F"/>
    <w:rsid w:val="00273F30"/>
    <w:rsid w:val="002E08CF"/>
    <w:rsid w:val="00355F47"/>
    <w:rsid w:val="004047A9"/>
    <w:rsid w:val="004644CE"/>
    <w:rsid w:val="00610B4F"/>
    <w:rsid w:val="00641A69"/>
    <w:rsid w:val="00693E15"/>
    <w:rsid w:val="006B1250"/>
    <w:rsid w:val="006D49E8"/>
    <w:rsid w:val="009F27FB"/>
    <w:rsid w:val="009F74B7"/>
    <w:rsid w:val="00A53E1A"/>
    <w:rsid w:val="00A87EC3"/>
    <w:rsid w:val="00AC1532"/>
    <w:rsid w:val="00C73792"/>
    <w:rsid w:val="00E60389"/>
    <w:rsid w:val="015A5675"/>
    <w:rsid w:val="0EFA64DE"/>
    <w:rsid w:val="36B53B14"/>
    <w:rsid w:val="3D035C93"/>
    <w:rsid w:val="490A2DDB"/>
    <w:rsid w:val="578A0894"/>
    <w:rsid w:val="60A204E8"/>
    <w:rsid w:val="6EBF6026"/>
    <w:rsid w:val="7EF539A0"/>
    <w:rsid w:val="7EF6A07E"/>
    <w:rsid w:val="F739A683"/>
    <w:rsid w:val="F973E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cs="Times New Roman"/>
      <w:sz w:val="28"/>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日期 Char"/>
    <w:basedOn w:val="7"/>
    <w:link w:val="2"/>
    <w:semiHidden/>
    <w:uiPriority w:val="99"/>
    <w:rPr>
      <w:rFonts w:ascii="Calibri" w:hAnsi="Calibri" w:eastAsia="宋体" w:cs="Times New Roman"/>
      <w:kern w:val="2"/>
      <w:sz w:val="21"/>
      <w:szCs w:val="22"/>
    </w:rPr>
  </w:style>
  <w:style w:type="character" w:customStyle="1" w:styleId="12">
    <w:name w:val="批注框文本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13</Pages>
  <Words>783</Words>
  <Characters>4464</Characters>
  <Lines>37</Lines>
  <Paragraphs>10</Paragraphs>
  <TotalTime>58</TotalTime>
  <ScaleCrop>false</ScaleCrop>
  <LinksUpToDate>false</LinksUpToDate>
  <CharactersWithSpaces>5237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2022-04-21T07:35:00Z</dcterms:created>
  <dc:creator>待遇保障处-黄孟欣</dc:creator>
  <cp:lastModifiedBy>林小玲</cp:lastModifiedBy>
  <cp:lastPrinted>2022-05-16T01:27:00Z</cp:lastPrinted>
  <dcterms:modified xsi:type="dcterms:W3CDTF">2022-05-20T02:15:11Z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