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eastAsia="仿宋"/>
          <w:color w:val="000000" w:themeColor="text1"/>
          <w:sz w:val="72"/>
          <w:szCs w:val="72"/>
          <w14:textFill>
            <w14:solidFill>
              <w14:schemeClr w14:val="tx1"/>
            </w14:solidFill>
          </w14:textFill>
        </w:rPr>
      </w:pPr>
    </w:p>
    <w:p>
      <w:pPr>
        <w:spacing w:before="156" w:beforeLines="50"/>
        <w:jc w:val="center"/>
        <w:rPr>
          <w:rFonts w:eastAsia="仿宋"/>
          <w:color w:val="000000" w:themeColor="text1"/>
          <w:sz w:val="72"/>
          <w:szCs w:val="72"/>
          <w14:textFill>
            <w14:solidFill>
              <w14:schemeClr w14:val="tx1"/>
            </w14:solidFill>
          </w14:textFill>
        </w:rPr>
      </w:pPr>
    </w:p>
    <w:p>
      <w:pPr>
        <w:spacing w:before="156" w:beforeLines="50"/>
        <w:jc w:val="center"/>
        <w:rPr>
          <w:rFonts w:eastAsia="仿宋"/>
          <w:color w:val="000000" w:themeColor="text1"/>
          <w:sz w:val="72"/>
          <w:szCs w:val="72"/>
          <w:highlight w:val="none"/>
          <w14:textFill>
            <w14:solidFill>
              <w14:schemeClr w14:val="tx1"/>
            </w14:solidFill>
          </w14:textFill>
        </w:rPr>
      </w:pPr>
    </w:p>
    <w:p>
      <w:pPr>
        <w:spacing w:before="156" w:beforeLines="50"/>
        <w:jc w:val="center"/>
        <w:outlineLvl w:val="0"/>
        <w:rPr>
          <w:rFonts w:eastAsia="仿宋"/>
          <w:color w:val="000000" w:themeColor="text1"/>
          <w:sz w:val="72"/>
          <w:szCs w:val="72"/>
          <w:highlight w:val="none"/>
          <w14:textFill>
            <w14:solidFill>
              <w14:schemeClr w14:val="tx1"/>
            </w14:solidFill>
          </w14:textFill>
        </w:rPr>
      </w:pPr>
      <w:r>
        <w:rPr>
          <w:rFonts w:hint="eastAsia" w:eastAsia="仿宋"/>
          <w:color w:val="000000" w:themeColor="text1"/>
          <w:sz w:val="72"/>
          <w:szCs w:val="72"/>
          <w:highlight w:val="none"/>
          <w14:textFill>
            <w14:solidFill>
              <w14:schemeClr w14:val="tx1"/>
            </w14:solidFill>
          </w14:textFill>
        </w:rPr>
        <w:t>项目</w:t>
      </w:r>
      <w:r>
        <w:rPr>
          <w:rFonts w:eastAsia="仿宋"/>
          <w:color w:val="000000" w:themeColor="text1"/>
          <w:sz w:val="72"/>
          <w:szCs w:val="72"/>
          <w:highlight w:val="none"/>
          <w14:textFill>
            <w14:solidFill>
              <w14:schemeClr w14:val="tx1"/>
            </w14:solidFill>
          </w14:textFill>
        </w:rPr>
        <w:t>采购文件</w:t>
      </w:r>
    </w:p>
    <w:p>
      <w:pPr>
        <w:snapToGrid w:val="0"/>
        <w:spacing w:before="156" w:beforeLines="50" w:line="360" w:lineRule="auto"/>
        <w:rPr>
          <w:rFonts w:eastAsia="仿宋"/>
          <w:color w:val="000000" w:themeColor="text1"/>
          <w:sz w:val="30"/>
          <w:szCs w:val="72"/>
          <w:highlight w:val="none"/>
          <w14:textFill>
            <w14:solidFill>
              <w14:schemeClr w14:val="tx1"/>
            </w14:solidFill>
          </w14:textFill>
        </w:rPr>
      </w:pPr>
    </w:p>
    <w:p>
      <w:pPr>
        <w:pStyle w:val="10"/>
        <w:snapToGrid w:val="0"/>
        <w:spacing w:before="120" w:after="120" w:line="360" w:lineRule="auto"/>
        <w:jc w:val="center"/>
        <w:rPr>
          <w:rFonts w:ascii="Times New Roman" w:hAnsi="Times New Roman" w:eastAsia="仿宋"/>
          <w:b/>
          <w:bCs/>
          <w:color w:val="000000" w:themeColor="text1"/>
          <w:sz w:val="30"/>
          <w:szCs w:val="30"/>
          <w:highlight w:val="none"/>
          <w14:textFill>
            <w14:solidFill>
              <w14:schemeClr w14:val="tx1"/>
            </w14:solidFill>
          </w14:textFill>
        </w:rPr>
      </w:pPr>
      <w:r>
        <w:rPr>
          <w:rFonts w:ascii="Times New Roman" w:hAnsi="Times New Roman" w:eastAsia="仿宋"/>
          <w:b/>
          <w:bCs/>
          <w:color w:val="000000" w:themeColor="text1"/>
          <w:sz w:val="30"/>
          <w:szCs w:val="30"/>
          <w:highlight w:val="none"/>
          <w14:textFill>
            <w14:solidFill>
              <w14:schemeClr w14:val="tx1"/>
            </w14:solidFill>
          </w14:textFill>
        </w:rPr>
        <w:t xml:space="preserve">       </w:t>
      </w:r>
    </w:p>
    <w:p>
      <w:pPr>
        <w:pStyle w:val="10"/>
        <w:snapToGrid w:val="0"/>
        <w:spacing w:before="120" w:after="120" w:line="360" w:lineRule="auto"/>
        <w:jc w:val="center"/>
        <w:rPr>
          <w:rFonts w:ascii="Times New Roman" w:hAnsi="Times New Roman" w:eastAsia="仿宋"/>
          <w:b/>
          <w:bCs/>
          <w:color w:val="000000" w:themeColor="text1"/>
          <w:sz w:val="30"/>
          <w:szCs w:val="30"/>
          <w:highlight w:val="none"/>
          <w14:textFill>
            <w14:solidFill>
              <w14:schemeClr w14:val="tx1"/>
            </w14:solidFill>
          </w14:textFill>
        </w:rPr>
      </w:pPr>
    </w:p>
    <w:p>
      <w:pPr>
        <w:overflowPunct w:val="0"/>
        <w:autoSpaceDE w:val="0"/>
        <w:autoSpaceDN w:val="0"/>
        <w:spacing w:line="560" w:lineRule="exact"/>
        <w:jc w:val="left"/>
        <w:rPr>
          <w:rFonts w:eastAsia="仿宋"/>
          <w:b/>
          <w:color w:val="000000" w:themeColor="text1"/>
          <w:sz w:val="30"/>
          <w:szCs w:val="72"/>
          <w:highlight w:val="none"/>
          <w14:textFill>
            <w14:solidFill>
              <w14:schemeClr w14:val="tx1"/>
            </w14:solidFill>
          </w14:textFill>
        </w:rPr>
      </w:pPr>
      <w:r>
        <w:rPr>
          <w:rFonts w:eastAsia="仿宋"/>
          <w:b/>
          <w:color w:val="000000" w:themeColor="text1"/>
          <w:sz w:val="30"/>
          <w:szCs w:val="72"/>
          <w:highlight w:val="none"/>
          <w14:textFill>
            <w14:solidFill>
              <w14:schemeClr w14:val="tx1"/>
            </w14:solidFill>
          </w14:textFill>
        </w:rPr>
        <w:t>项目名称：</w:t>
      </w:r>
      <w:r>
        <w:rPr>
          <w:rFonts w:hint="eastAsia" w:eastAsia="仿宋"/>
          <w:b/>
          <w:color w:val="000000" w:themeColor="text1"/>
          <w:sz w:val="30"/>
          <w:szCs w:val="72"/>
          <w:highlight w:val="none"/>
          <w14:textFill>
            <w14:solidFill>
              <w14:schemeClr w14:val="tx1"/>
            </w14:solidFill>
          </w14:textFill>
        </w:rPr>
        <w:t>2023年柳州市政府网站及政务新媒体检查和监测服务</w:t>
      </w:r>
    </w:p>
    <w:p>
      <w:pPr>
        <w:pStyle w:val="2"/>
        <w:rPr>
          <w:rFonts w:hint="eastAsia" w:eastAsia="仿宋"/>
          <w:b/>
          <w:color w:val="000000" w:themeColor="text1"/>
          <w:sz w:val="30"/>
          <w:szCs w:val="72"/>
          <w:highlight w:val="none"/>
          <w:lang w:val="en-US" w:eastAsia="zh-CN"/>
          <w14:textFill>
            <w14:solidFill>
              <w14:schemeClr w14:val="tx1"/>
            </w14:solidFill>
          </w14:textFill>
        </w:rPr>
      </w:pPr>
    </w:p>
    <w:p>
      <w:pPr>
        <w:pStyle w:val="2"/>
        <w:rPr>
          <w:rFonts w:hint="default" w:eastAsia="仿宋"/>
          <w:color w:val="000000" w:themeColor="text1"/>
          <w:lang w:val="en-US" w:eastAsia="zh-CN"/>
          <w14:textFill>
            <w14:solidFill>
              <w14:schemeClr w14:val="tx1"/>
            </w14:solidFill>
          </w14:textFill>
        </w:rPr>
      </w:pPr>
      <w:r>
        <w:rPr>
          <w:rFonts w:hint="eastAsia" w:eastAsia="仿宋"/>
          <w:b/>
          <w:color w:val="000000" w:themeColor="text1"/>
          <w:sz w:val="30"/>
          <w:szCs w:val="72"/>
          <w:highlight w:val="none"/>
          <w:lang w:val="en-US" w:eastAsia="zh-CN"/>
          <w14:textFill>
            <w14:solidFill>
              <w14:schemeClr w14:val="tx1"/>
            </w14:solidFill>
          </w14:textFill>
        </w:rPr>
        <w:t>项目编号：LZIC2023-C-004</w:t>
      </w:r>
    </w:p>
    <w:p>
      <w:pPr>
        <w:pStyle w:val="10"/>
        <w:snapToGrid w:val="0"/>
        <w:spacing w:before="120" w:after="120" w:line="360" w:lineRule="auto"/>
        <w:ind w:firstLine="1656" w:firstLineChars="550"/>
        <w:rPr>
          <w:rFonts w:ascii="Times New Roman" w:hAnsi="Times New Roman" w:eastAsia="仿宋"/>
          <w:b/>
          <w:color w:val="000000" w:themeColor="text1"/>
          <w:sz w:val="30"/>
          <w:szCs w:val="72"/>
          <w:highlight w:val="none"/>
          <w14:textFill>
            <w14:solidFill>
              <w14:schemeClr w14:val="tx1"/>
            </w14:solidFill>
          </w14:textFill>
        </w:rPr>
      </w:pPr>
    </w:p>
    <w:p>
      <w:pPr>
        <w:pStyle w:val="10"/>
        <w:snapToGrid w:val="0"/>
        <w:spacing w:before="120" w:after="120" w:line="360" w:lineRule="auto"/>
        <w:ind w:firstLine="2397" w:firstLineChars="796"/>
        <w:rPr>
          <w:rFonts w:ascii="Times New Roman" w:hAnsi="Times New Roman" w:eastAsia="仿宋"/>
          <w:b/>
          <w:color w:val="000000" w:themeColor="text1"/>
          <w:sz w:val="30"/>
          <w:szCs w:val="72"/>
          <w:highlight w:val="none"/>
          <w14:textFill>
            <w14:solidFill>
              <w14:schemeClr w14:val="tx1"/>
            </w14:solidFill>
          </w14:textFill>
        </w:rPr>
      </w:pPr>
    </w:p>
    <w:p>
      <w:pPr>
        <w:pStyle w:val="10"/>
        <w:snapToGrid w:val="0"/>
        <w:spacing w:before="120" w:after="120" w:line="360" w:lineRule="auto"/>
        <w:ind w:firstLine="2397" w:firstLineChars="796"/>
        <w:rPr>
          <w:rFonts w:ascii="Times New Roman" w:hAnsi="Times New Roman" w:eastAsia="仿宋"/>
          <w:b/>
          <w:color w:val="000000" w:themeColor="text1"/>
          <w:sz w:val="30"/>
          <w:szCs w:val="72"/>
          <w:highlight w:val="none"/>
          <w14:textFill>
            <w14:solidFill>
              <w14:schemeClr w14:val="tx1"/>
            </w14:solidFill>
          </w14:textFill>
        </w:rPr>
      </w:pPr>
    </w:p>
    <w:p>
      <w:pPr>
        <w:pStyle w:val="10"/>
        <w:snapToGrid w:val="0"/>
        <w:spacing w:before="120" w:after="120" w:line="360" w:lineRule="auto"/>
        <w:jc w:val="center"/>
        <w:rPr>
          <w:rFonts w:hint="default" w:ascii="Times New Roman" w:hAnsi="Times New Roman" w:eastAsia="仿宋"/>
          <w:b/>
          <w:color w:val="000000" w:themeColor="text1"/>
          <w:sz w:val="30"/>
          <w:szCs w:val="72"/>
          <w:highlight w:val="none"/>
          <w:lang w:val="en-US" w:eastAsia="zh-CN"/>
          <w14:textFill>
            <w14:solidFill>
              <w14:schemeClr w14:val="tx1"/>
            </w14:solidFill>
          </w14:textFill>
        </w:rPr>
      </w:pPr>
      <w:r>
        <w:rPr>
          <w:rFonts w:ascii="Times New Roman" w:hAnsi="Times New Roman" w:eastAsia="仿宋"/>
          <w:b/>
          <w:color w:val="000000" w:themeColor="text1"/>
          <w:sz w:val="30"/>
          <w:szCs w:val="72"/>
          <w:highlight w:val="none"/>
          <w14:textFill>
            <w14:solidFill>
              <w14:schemeClr w14:val="tx1"/>
            </w14:solidFill>
          </w14:textFill>
        </w:rPr>
        <w:t>采购单位：</w:t>
      </w:r>
      <w:r>
        <w:rPr>
          <w:rFonts w:hint="eastAsia" w:ascii="Times New Roman" w:hAnsi="Times New Roman" w:eastAsia="仿宋"/>
          <w:b/>
          <w:color w:val="000000" w:themeColor="text1"/>
          <w:sz w:val="30"/>
          <w:szCs w:val="72"/>
          <w:highlight w:val="none"/>
          <w:lang w:val="en-US" w:eastAsia="zh-CN"/>
          <w14:textFill>
            <w14:solidFill>
              <w14:schemeClr w14:val="tx1"/>
            </w14:solidFill>
          </w14:textFill>
        </w:rPr>
        <w:t>柳州市信息化建设管理中心</w:t>
      </w:r>
    </w:p>
    <w:p>
      <w:pPr>
        <w:spacing w:before="1092" w:beforeLines="350" w:after="468" w:afterLines="150" w:line="400" w:lineRule="exact"/>
        <w:jc w:val="center"/>
        <w:rPr>
          <w:rFonts w:ascii="宋体" w:hAnsi="宋体"/>
          <w:b/>
          <w:color w:val="000000" w:themeColor="text1"/>
          <w:sz w:val="44"/>
          <w:szCs w:val="44"/>
          <w:highlight w:val="none"/>
          <w14:textFill>
            <w14:solidFill>
              <w14:schemeClr w14:val="tx1"/>
            </w14:solidFill>
          </w14:textFill>
        </w:rPr>
      </w:pPr>
      <w:r>
        <w:rPr>
          <w:rFonts w:eastAsia="仿宋"/>
          <w:b/>
          <w:bCs/>
          <w:color w:val="000000" w:themeColor="text1"/>
          <w:w w:val="95"/>
          <w:sz w:val="30"/>
          <w:szCs w:val="30"/>
          <w:highlight w:val="none"/>
          <w14:textFill>
            <w14:solidFill>
              <w14:schemeClr w14:val="tx1"/>
            </w14:solidFill>
          </w14:textFill>
        </w:rPr>
        <w:t>202</w:t>
      </w:r>
      <w:r>
        <w:rPr>
          <w:rFonts w:hint="eastAsia" w:eastAsia="仿宋"/>
          <w:b/>
          <w:bCs/>
          <w:color w:val="000000" w:themeColor="text1"/>
          <w:w w:val="95"/>
          <w:sz w:val="30"/>
          <w:szCs w:val="30"/>
          <w:highlight w:val="none"/>
          <w:lang w:val="en-US" w:eastAsia="zh-CN"/>
          <w14:textFill>
            <w14:solidFill>
              <w14:schemeClr w14:val="tx1"/>
            </w14:solidFill>
          </w14:textFill>
        </w:rPr>
        <w:t>3</w:t>
      </w:r>
      <w:r>
        <w:rPr>
          <w:rFonts w:eastAsia="仿宋"/>
          <w:b/>
          <w:bCs/>
          <w:color w:val="000000" w:themeColor="text1"/>
          <w:w w:val="95"/>
          <w:sz w:val="30"/>
          <w:szCs w:val="30"/>
          <w:highlight w:val="none"/>
          <w14:textFill>
            <w14:solidFill>
              <w14:schemeClr w14:val="tx1"/>
            </w14:solidFill>
          </w14:textFill>
        </w:rPr>
        <w:t>年</w:t>
      </w:r>
      <w:r>
        <w:rPr>
          <w:rFonts w:hint="eastAsia" w:eastAsia="仿宋"/>
          <w:b/>
          <w:bCs/>
          <w:color w:val="000000" w:themeColor="text1"/>
          <w:w w:val="95"/>
          <w:sz w:val="30"/>
          <w:szCs w:val="30"/>
          <w:highlight w:val="none"/>
          <w:lang w:val="en-US" w:eastAsia="zh-CN"/>
          <w14:textFill>
            <w14:solidFill>
              <w14:schemeClr w14:val="tx1"/>
            </w14:solidFill>
          </w14:textFill>
        </w:rPr>
        <w:t>10</w:t>
      </w:r>
      <w:r>
        <w:rPr>
          <w:rFonts w:eastAsia="仿宋"/>
          <w:b/>
          <w:bCs/>
          <w:color w:val="000000" w:themeColor="text1"/>
          <w:w w:val="95"/>
          <w:sz w:val="30"/>
          <w:szCs w:val="30"/>
          <w:highlight w:val="none"/>
          <w14:textFill>
            <w14:solidFill>
              <w14:schemeClr w14:val="tx1"/>
            </w14:solidFill>
          </w14:textFill>
        </w:rPr>
        <w:t>月</w:t>
      </w:r>
      <w:r>
        <w:rPr>
          <w:rFonts w:ascii="宋体" w:hAnsi="宋体"/>
          <w:b/>
          <w:color w:val="000000" w:themeColor="text1"/>
          <w:sz w:val="44"/>
          <w:szCs w:val="44"/>
          <w:highlight w:val="none"/>
          <w14:textFill>
            <w14:solidFill>
              <w14:schemeClr w14:val="tx1"/>
            </w14:solidFill>
          </w14:textFill>
        </w:rPr>
        <w:br w:type="page"/>
      </w:r>
      <w:r>
        <w:rPr>
          <w:rFonts w:hint="eastAsia" w:ascii="宋体" w:hAnsi="宋体"/>
          <w:b/>
          <w:color w:val="000000" w:themeColor="text1"/>
          <w:sz w:val="44"/>
          <w:szCs w:val="44"/>
          <w:highlight w:val="none"/>
          <w14:textFill>
            <w14:solidFill>
              <w14:schemeClr w14:val="tx1"/>
            </w14:solidFill>
          </w14:textFill>
        </w:rPr>
        <w:t>目   录</w:t>
      </w:r>
    </w:p>
    <w:p>
      <w:pPr>
        <w:numPr>
          <w:ilvl w:val="0"/>
          <w:numId w:val="1"/>
        </w:numPr>
        <w:spacing w:line="800" w:lineRule="exact"/>
        <w:ind w:left="1077" w:hanging="717"/>
        <w:jc w:val="left"/>
        <w:rPr>
          <w:rFonts w:ascii="宋体" w:hAnsi="宋体"/>
          <w:b/>
          <w:color w:val="000000" w:themeColor="text1"/>
          <w:sz w:val="28"/>
          <w:szCs w:val="32"/>
          <w:highlight w:val="none"/>
          <w14:textFill>
            <w14:solidFill>
              <w14:schemeClr w14:val="tx1"/>
            </w14:solidFill>
          </w14:textFill>
        </w:rPr>
      </w:pPr>
      <w:r>
        <w:rPr>
          <w:rFonts w:hint="eastAsia" w:ascii="宋体" w:hAnsi="宋体"/>
          <w:b/>
          <w:color w:val="000000" w:themeColor="text1"/>
          <w:sz w:val="28"/>
          <w:szCs w:val="32"/>
          <w:highlight w:val="none"/>
          <w14:textFill>
            <w14:solidFill>
              <w14:schemeClr w14:val="tx1"/>
            </w14:solidFill>
          </w14:textFill>
        </w:rPr>
        <w:t>采购公告…………………………………………………………1</w:t>
      </w:r>
    </w:p>
    <w:p>
      <w:pPr>
        <w:numPr>
          <w:ilvl w:val="0"/>
          <w:numId w:val="1"/>
        </w:numPr>
        <w:spacing w:line="800" w:lineRule="exact"/>
        <w:ind w:left="1077" w:hanging="717"/>
        <w:jc w:val="left"/>
        <w:rPr>
          <w:rFonts w:ascii="宋体" w:hAnsi="宋体"/>
          <w:b/>
          <w:color w:val="000000" w:themeColor="text1"/>
          <w:sz w:val="28"/>
          <w:szCs w:val="32"/>
          <w:highlight w:val="none"/>
          <w14:textFill>
            <w14:solidFill>
              <w14:schemeClr w14:val="tx1"/>
            </w14:solidFill>
          </w14:textFill>
        </w:rPr>
      </w:pPr>
      <w:r>
        <w:rPr>
          <w:rFonts w:hint="eastAsia" w:hAnsi="宋体"/>
          <w:b/>
          <w:color w:val="000000" w:themeColor="text1"/>
          <w:sz w:val="28"/>
          <w:szCs w:val="32"/>
          <w:highlight w:val="none"/>
          <w14:textFill>
            <w14:solidFill>
              <w14:schemeClr w14:val="tx1"/>
            </w14:solidFill>
          </w14:textFill>
        </w:rPr>
        <w:t>服务需求及说明</w:t>
      </w:r>
      <w:r>
        <w:rPr>
          <w:rFonts w:hint="eastAsia" w:ascii="宋体" w:hAnsi="宋体"/>
          <w:b/>
          <w:color w:val="000000" w:themeColor="text1"/>
          <w:sz w:val="28"/>
          <w:szCs w:val="32"/>
          <w:highlight w:val="none"/>
          <w14:textFill>
            <w14:solidFill>
              <w14:schemeClr w14:val="tx1"/>
            </w14:solidFill>
          </w14:textFill>
        </w:rPr>
        <w:t>…………………………………………………</w:t>
      </w:r>
      <w:r>
        <w:rPr>
          <w:rFonts w:hint="eastAsia" w:ascii="宋体" w:hAnsi="宋体"/>
          <w:b/>
          <w:color w:val="000000" w:themeColor="text1"/>
          <w:sz w:val="28"/>
          <w:szCs w:val="32"/>
          <w:highlight w:val="none"/>
          <w:lang w:val="en-US" w:eastAsia="zh-CN"/>
          <w14:textFill>
            <w14:solidFill>
              <w14:schemeClr w14:val="tx1"/>
            </w14:solidFill>
          </w14:textFill>
        </w:rPr>
        <w:t>3</w:t>
      </w:r>
    </w:p>
    <w:p>
      <w:pPr>
        <w:numPr>
          <w:ilvl w:val="0"/>
          <w:numId w:val="1"/>
        </w:numPr>
        <w:spacing w:line="800" w:lineRule="exact"/>
        <w:ind w:left="1077" w:hanging="717"/>
        <w:jc w:val="left"/>
        <w:rPr>
          <w:rFonts w:ascii="宋体" w:hAnsi="宋体"/>
          <w:b/>
          <w:color w:val="000000" w:themeColor="text1"/>
          <w:sz w:val="28"/>
          <w:szCs w:val="32"/>
          <w:highlight w:val="none"/>
          <w14:textFill>
            <w14:solidFill>
              <w14:schemeClr w14:val="tx1"/>
            </w14:solidFill>
          </w14:textFill>
        </w:rPr>
      </w:pPr>
      <w:r>
        <w:rPr>
          <w:rFonts w:hint="eastAsia" w:ascii="宋体" w:hAnsi="宋体"/>
          <w:b/>
          <w:color w:val="000000" w:themeColor="text1"/>
          <w:sz w:val="28"/>
          <w:szCs w:val="32"/>
          <w:highlight w:val="none"/>
          <w14:textFill>
            <w14:solidFill>
              <w14:schemeClr w14:val="tx1"/>
            </w14:solidFill>
          </w14:textFill>
        </w:rPr>
        <w:t>评审办法及成交标准……………………………………………</w:t>
      </w:r>
      <w:r>
        <w:rPr>
          <w:rFonts w:hint="eastAsia" w:ascii="宋体" w:hAnsi="宋体"/>
          <w:b/>
          <w:color w:val="000000" w:themeColor="text1"/>
          <w:sz w:val="28"/>
          <w:szCs w:val="32"/>
          <w:highlight w:val="none"/>
          <w:lang w:val="en-US" w:eastAsia="zh-CN"/>
          <w14:textFill>
            <w14:solidFill>
              <w14:schemeClr w14:val="tx1"/>
            </w14:solidFill>
          </w14:textFill>
        </w:rPr>
        <w:t>6</w:t>
      </w:r>
    </w:p>
    <w:p>
      <w:pPr>
        <w:numPr>
          <w:ilvl w:val="0"/>
          <w:numId w:val="1"/>
        </w:numPr>
        <w:spacing w:line="800" w:lineRule="exact"/>
        <w:ind w:left="1077" w:hanging="717"/>
        <w:jc w:val="left"/>
        <w:rPr>
          <w:rFonts w:ascii="宋体" w:hAnsi="宋体"/>
          <w:b/>
          <w:color w:val="000000" w:themeColor="text1"/>
          <w:sz w:val="28"/>
          <w:szCs w:val="32"/>
          <w:highlight w:val="none"/>
          <w14:textFill>
            <w14:solidFill>
              <w14:schemeClr w14:val="tx1"/>
            </w14:solidFill>
          </w14:textFill>
        </w:rPr>
      </w:pPr>
      <w:r>
        <w:rPr>
          <w:rFonts w:hint="eastAsia" w:ascii="宋体" w:hAnsi="宋体"/>
          <w:b/>
          <w:color w:val="000000" w:themeColor="text1"/>
          <w:sz w:val="28"/>
          <w:szCs w:val="32"/>
          <w:highlight w:val="none"/>
          <w14:textFill>
            <w14:solidFill>
              <w14:schemeClr w14:val="tx1"/>
            </w14:solidFill>
          </w14:textFill>
        </w:rPr>
        <w:t>响应文件格式……………………………………………………</w:t>
      </w:r>
      <w:r>
        <w:rPr>
          <w:rFonts w:hint="eastAsia" w:ascii="宋体" w:hAnsi="宋体"/>
          <w:b/>
          <w:color w:val="000000" w:themeColor="text1"/>
          <w:sz w:val="28"/>
          <w:szCs w:val="32"/>
          <w:highlight w:val="none"/>
          <w:lang w:val="en-US" w:eastAsia="zh-CN"/>
          <w14:textFill>
            <w14:solidFill>
              <w14:schemeClr w14:val="tx1"/>
            </w14:solidFill>
          </w14:textFill>
        </w:rPr>
        <w:t>7</w:t>
      </w:r>
    </w:p>
    <w:p>
      <w:pPr>
        <w:spacing w:line="400" w:lineRule="exact"/>
        <w:jc w:val="left"/>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jc w:val="center"/>
        <w:rPr>
          <w:rFonts w:ascii="宋体" w:hAnsi="宋体"/>
          <w:b/>
          <w:color w:val="000000" w:themeColor="text1"/>
          <w:sz w:val="32"/>
          <w:szCs w:val="32"/>
          <w:highlight w:val="none"/>
          <w14:textFill>
            <w14:solidFill>
              <w14:schemeClr w14:val="tx1"/>
            </w14:solidFill>
          </w14:textFill>
        </w:rPr>
      </w:pPr>
    </w:p>
    <w:p>
      <w:pPr>
        <w:spacing w:line="400" w:lineRule="exact"/>
        <w:rPr>
          <w:rFonts w:ascii="宋体" w:hAnsi="宋体"/>
          <w:b/>
          <w:color w:val="000000" w:themeColor="text1"/>
          <w:sz w:val="32"/>
          <w:szCs w:val="32"/>
          <w:highlight w:val="none"/>
          <w14:textFill>
            <w14:solidFill>
              <w14:schemeClr w14:val="tx1"/>
            </w14:solidFill>
          </w14:textFill>
        </w:rPr>
      </w:pPr>
    </w:p>
    <w:p>
      <w:pPr>
        <w:numPr>
          <w:ilvl w:val="0"/>
          <w:numId w:val="2"/>
        </w:numPr>
        <w:spacing w:line="500" w:lineRule="exact"/>
        <w:jc w:val="center"/>
        <w:rPr>
          <w:rFonts w:ascii="宋体" w:hAnsi="宋体"/>
          <w:b/>
          <w:color w:val="000000" w:themeColor="text1"/>
          <w:sz w:val="28"/>
          <w:szCs w:val="28"/>
          <w:highlight w:val="none"/>
          <w14:textFill>
            <w14:solidFill>
              <w14:schemeClr w14:val="tx1"/>
            </w14:solidFill>
          </w14:textFill>
        </w:rPr>
        <w:sectPr>
          <w:headerReference r:id="rId3" w:type="default"/>
          <w:footerReference r:id="rId4" w:type="default"/>
          <w:pgSz w:w="11906" w:h="16838"/>
          <w:pgMar w:top="1304" w:right="1247" w:bottom="1304" w:left="1247" w:header="794" w:footer="992" w:gutter="0"/>
          <w:pgNumType w:start="1"/>
          <w:cols w:space="720" w:num="1"/>
          <w:titlePg/>
          <w:docGrid w:type="lines" w:linePitch="312" w:charSpace="0"/>
        </w:sectPr>
      </w:pPr>
    </w:p>
    <w:p>
      <w:pPr>
        <w:numPr>
          <w:ilvl w:val="0"/>
          <w:numId w:val="2"/>
        </w:numPr>
        <w:spacing w:line="500" w:lineRule="exact"/>
        <w:jc w:val="center"/>
        <w:outlineLvl w:val="0"/>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采购公告</w:t>
      </w:r>
    </w:p>
    <w:p>
      <w:pPr>
        <w:spacing w:line="500" w:lineRule="exact"/>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lang w:val="en-US" w:eastAsia="zh-CN"/>
          <w14:textFill>
            <w14:solidFill>
              <w14:schemeClr w14:val="tx1"/>
            </w14:solidFill>
          </w14:textFill>
        </w:rPr>
        <w:t>柳州市信息化建设管理中心</w:t>
      </w:r>
      <w:r>
        <w:rPr>
          <w:rFonts w:hint="eastAsia" w:ascii="宋体" w:hAnsi="宋体"/>
          <w:b/>
          <w:color w:val="000000" w:themeColor="text1"/>
          <w:sz w:val="28"/>
          <w:szCs w:val="28"/>
          <w:highlight w:val="none"/>
          <w14:textFill>
            <w14:solidFill>
              <w14:schemeClr w14:val="tx1"/>
            </w14:solidFill>
          </w14:textFill>
        </w:rPr>
        <w:t>关于</w:t>
      </w:r>
      <w:r>
        <w:rPr>
          <w:rFonts w:hint="eastAsia" w:ascii="宋体" w:hAnsi="宋体"/>
          <w:b/>
          <w:color w:val="000000" w:themeColor="text1"/>
          <w:sz w:val="28"/>
          <w:szCs w:val="28"/>
          <w:highlight w:val="none"/>
          <w14:textFill>
            <w14:solidFill>
              <w14:schemeClr w14:val="tx1"/>
            </w14:solidFill>
          </w14:textFill>
        </w:rPr>
        <w:t>《2023年柳州市政府网站及政务新媒体检查和监测服务》</w:t>
      </w:r>
      <w:r>
        <w:rPr>
          <w:rFonts w:hint="eastAsia" w:ascii="宋体" w:hAnsi="宋体"/>
          <w:b/>
          <w:color w:val="000000" w:themeColor="text1"/>
          <w:sz w:val="28"/>
          <w:szCs w:val="28"/>
          <w:highlight w:val="none"/>
          <w14:textFill>
            <w14:solidFill>
              <w14:schemeClr w14:val="tx1"/>
            </w14:solidFill>
          </w14:textFill>
        </w:rPr>
        <w:t>采购公告</w:t>
      </w:r>
    </w:p>
    <w:p>
      <w:p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根据工作需要，柳州市信息化建设管理中心计划采购</w:t>
      </w:r>
      <w:r>
        <w:rPr>
          <w:rFonts w:hint="eastAsia" w:ascii="宋体" w:hAnsi="宋体"/>
          <w:bCs/>
          <w:color w:val="000000" w:themeColor="text1"/>
          <w:sz w:val="24"/>
          <w:highlight w:val="none"/>
          <w:lang w:val="en-US" w:eastAsia="zh-CN"/>
          <w14:textFill>
            <w14:solidFill>
              <w14:schemeClr w14:val="tx1"/>
            </w14:solidFill>
          </w14:textFill>
        </w:rPr>
        <w:t>《2023年柳州市政府网站及政务新媒体检查和监测服务》</w:t>
      </w:r>
      <w:r>
        <w:rPr>
          <w:rFonts w:hint="eastAsia" w:ascii="宋体" w:hAnsi="宋体"/>
          <w:bCs/>
          <w:color w:val="000000" w:themeColor="text1"/>
          <w:sz w:val="24"/>
          <w:highlight w:val="none"/>
          <w:lang w:val="en-US" w:eastAsia="zh-CN"/>
          <w14:textFill>
            <w14:solidFill>
              <w14:schemeClr w14:val="tx1"/>
            </w14:solidFill>
          </w14:textFill>
        </w:rPr>
        <w:t>项目，欢迎符合条件的供应商参加报价。柳州市信息化建设管理中心将按照《中华人民共和国政府采购法》等有关规定要求，本着遵循公开透明原则、公平竞争原则、公正原则和诚实信用原则，对参与报价的单位进行综合比选后择优确定供应商。有关事项公告如下：</w:t>
      </w:r>
    </w:p>
    <w:p>
      <w:pPr>
        <w:numPr>
          <w:ilvl w:val="0"/>
          <w:numId w:val="0"/>
        </w:numPr>
        <w:spacing w:line="400" w:lineRule="exact"/>
        <w:ind w:firstLine="482" w:firstLineChars="200"/>
        <w:jc w:val="left"/>
        <w:rPr>
          <w:rFonts w:hint="eastAsia" w:ascii="宋体" w:hAnsi="宋体"/>
          <w:b/>
          <w:bCs w:val="0"/>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一、采购项目名称</w:t>
      </w:r>
    </w:p>
    <w:p>
      <w:pPr>
        <w:numPr>
          <w:ilvl w:val="0"/>
          <w:numId w:val="0"/>
        </w:num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项目名称：2023年柳州市政府网站及政务新媒体检查和监测服务</w:t>
      </w:r>
    </w:p>
    <w:p>
      <w:pPr>
        <w:pStyle w:val="2"/>
        <w:ind w:firstLine="480" w:firstLineChars="200"/>
        <w:rPr>
          <w:rFonts w:hint="default"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项目编码</w:t>
      </w:r>
      <w:r>
        <w:rPr>
          <w:rFonts w:hint="eastAsia" w:ascii="宋体" w:hAnsi="宋体" w:cs="Times New Roman"/>
          <w:bCs/>
          <w:color w:val="000000" w:themeColor="text1"/>
          <w:kern w:val="2"/>
          <w:sz w:val="24"/>
          <w:szCs w:val="24"/>
          <w:highlight w:val="none"/>
          <w:lang w:val="en-US" w:eastAsia="zh-CN" w:bidi="ar-SA"/>
          <w14:textFill>
            <w14:solidFill>
              <w14:schemeClr w14:val="tx1"/>
            </w14:solidFill>
          </w14:textFill>
        </w:rPr>
        <w:t>：LZIC2023-C-004</w:t>
      </w:r>
    </w:p>
    <w:p>
      <w:pPr>
        <w:spacing w:line="400" w:lineRule="exact"/>
        <w:ind w:firstLine="482" w:firstLineChars="200"/>
        <w:jc w:val="left"/>
        <w:rPr>
          <w:rFonts w:hint="eastAsia" w:ascii="宋体" w:hAnsi="宋体"/>
          <w:b/>
          <w:bCs w:val="0"/>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二、项目预算</w:t>
      </w:r>
    </w:p>
    <w:p>
      <w:p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项目服务期一年，预算为人民</w:t>
      </w:r>
      <w:r>
        <w:rPr>
          <w:rFonts w:hint="eastAsia" w:ascii="宋体" w:hAnsi="宋体"/>
          <w:bCs/>
          <w:color w:val="000000" w:themeColor="text1"/>
          <w:sz w:val="24"/>
          <w:highlight w:val="none"/>
          <w:lang w:val="en-US" w:eastAsia="zh-CN"/>
          <w14:textFill>
            <w14:solidFill>
              <w14:schemeClr w14:val="tx1"/>
            </w14:solidFill>
          </w14:textFill>
        </w:rPr>
        <w:t>币壹拾玖万元整（¥190,000.00元）</w:t>
      </w:r>
      <w:r>
        <w:rPr>
          <w:rFonts w:hint="eastAsia" w:ascii="宋体" w:hAnsi="宋体"/>
          <w:bCs/>
          <w:color w:val="000000" w:themeColor="text1"/>
          <w:sz w:val="24"/>
          <w:highlight w:val="none"/>
          <w:lang w:val="en-US" w:eastAsia="zh-CN"/>
          <w14:textFill>
            <w14:solidFill>
              <w14:schemeClr w14:val="tx1"/>
            </w14:solidFill>
          </w14:textFill>
        </w:rPr>
        <w:t>。供应商的报价不得超出项目预算，否则按无效投标处理。</w:t>
      </w:r>
    </w:p>
    <w:p>
      <w:pPr>
        <w:spacing w:line="400" w:lineRule="exact"/>
        <w:ind w:firstLine="482"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三、项目服务地点</w:t>
      </w:r>
    </w:p>
    <w:p>
      <w:pPr>
        <w:spacing w:line="400" w:lineRule="exact"/>
        <w:ind w:firstLine="480" w:firstLineChars="200"/>
        <w:jc w:val="left"/>
        <w:rPr>
          <w:rFonts w:hint="default"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柳州市三中路66号</w:t>
      </w:r>
    </w:p>
    <w:p>
      <w:pPr>
        <w:spacing w:line="400" w:lineRule="exact"/>
        <w:ind w:firstLine="482"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四、采购项目基本情况、采购需求</w:t>
      </w:r>
    </w:p>
    <w:p>
      <w:p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详见采购需求。</w:t>
      </w:r>
    </w:p>
    <w:p>
      <w:pPr>
        <w:spacing w:line="400" w:lineRule="exact"/>
        <w:ind w:firstLine="482"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五、报价人资格要求</w:t>
      </w:r>
    </w:p>
    <w:p>
      <w:pPr>
        <w:spacing w:line="400" w:lineRule="exact"/>
        <w:ind w:firstLine="480" w:firstLineChars="200"/>
        <w:jc w:val="left"/>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1.符合《中华人民共和国政府采购法》第二十二条的规定，国内注册（指按国家有关规定要求注册的）生产或经营本次采购项目内容，同时具备法人资格的供应商。</w:t>
      </w:r>
    </w:p>
    <w:p>
      <w:pPr>
        <w:spacing w:line="400" w:lineRule="exact"/>
        <w:ind w:firstLine="480" w:firstLineChars="200"/>
        <w:jc w:val="left"/>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pPr>
        <w:spacing w:line="400" w:lineRule="exact"/>
        <w:ind w:firstLine="480" w:firstLineChars="200"/>
        <w:jc w:val="left"/>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bCs/>
          <w:color w:val="000000" w:themeColor="text1"/>
          <w:kern w:val="2"/>
          <w:sz w:val="24"/>
          <w:szCs w:val="24"/>
          <w:highlight w:val="none"/>
          <w:lang w:val="en-US" w:eastAsia="zh-CN" w:bidi="ar-SA"/>
          <w14:textFill>
            <w14:solidFill>
              <w14:schemeClr w14:val="tx1"/>
            </w14:solidFill>
          </w14:textFill>
        </w:rPr>
        <w:t>3.本项目不接受联合体报价。</w:t>
      </w:r>
    </w:p>
    <w:p>
      <w:pPr>
        <w:spacing w:line="400" w:lineRule="exact"/>
        <w:ind w:firstLine="482" w:firstLineChars="200"/>
        <w:jc w:val="left"/>
        <w:rPr>
          <w:rFonts w:hint="eastAsia" w:ascii="宋体" w:hAnsi="宋体"/>
          <w:b/>
          <w:bCs w:val="0"/>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六、相应文件提交</w:t>
      </w:r>
    </w:p>
    <w:p>
      <w:p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提交时间及地址：</w:t>
      </w:r>
    </w:p>
    <w:p>
      <w:p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请于</w:t>
      </w:r>
      <w:r>
        <w:rPr>
          <w:rFonts w:hint="eastAsia" w:ascii="宋体" w:hAnsi="宋体"/>
          <w:bCs/>
          <w:color w:val="000000" w:themeColor="text1"/>
          <w:sz w:val="24"/>
          <w:highlight w:val="none"/>
          <w:lang w:val="en-US" w:eastAsia="zh-CN"/>
          <w14:textFill>
            <w14:solidFill>
              <w14:schemeClr w14:val="tx1"/>
            </w14:solidFill>
          </w14:textFill>
        </w:rPr>
        <w:t>2023年10月18日18：00前将加盖公章的材料以密封报价文件方式（一正一副）</w:t>
      </w:r>
      <w:r>
        <w:rPr>
          <w:rFonts w:hint="eastAsia" w:ascii="宋体" w:hAnsi="宋体"/>
          <w:b/>
          <w:bCs w:val="0"/>
          <w:color w:val="000000" w:themeColor="text1"/>
          <w:sz w:val="24"/>
          <w:highlight w:val="none"/>
          <w:lang w:val="en-US" w:eastAsia="zh-CN"/>
          <w14:textFill>
            <w14:solidFill>
              <w14:schemeClr w14:val="tx1"/>
            </w14:solidFill>
          </w14:textFill>
        </w:rPr>
        <w:t>提交或邮寄</w:t>
      </w:r>
      <w:r>
        <w:rPr>
          <w:rFonts w:hint="eastAsia" w:ascii="宋体" w:hAnsi="宋体"/>
          <w:bCs/>
          <w:color w:val="000000" w:themeColor="text1"/>
          <w:sz w:val="24"/>
          <w:highlight w:val="none"/>
          <w:lang w:val="en-US" w:eastAsia="zh-CN"/>
          <w14:textFill>
            <w14:solidFill>
              <w14:schemeClr w14:val="tx1"/>
            </w14:solidFill>
          </w14:textFill>
        </w:rPr>
        <w:t>至柳州市信息化建设管理中心，逾期送达的将予以拒收（或作无效报价文件处理）。</w:t>
      </w:r>
    </w:p>
    <w:p>
      <w:p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材料接收地址：</w:t>
      </w:r>
    </w:p>
    <w:p>
      <w:pPr>
        <w:spacing w:line="400" w:lineRule="exact"/>
        <w:ind w:firstLine="480" w:firstLineChars="200"/>
        <w:jc w:val="left"/>
        <w:rPr>
          <w:rFonts w:hint="default"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柳州市三中路66号1号办公楼117</w:t>
      </w:r>
    </w:p>
    <w:p>
      <w:pPr>
        <w:spacing w:line="400" w:lineRule="exact"/>
        <w:ind w:firstLine="482" w:firstLineChars="200"/>
        <w:jc w:val="left"/>
        <w:rPr>
          <w:rFonts w:hint="eastAsia" w:ascii="宋体" w:hAnsi="宋体"/>
          <w:b/>
          <w:bCs w:val="0"/>
          <w:color w:val="000000" w:themeColor="text1"/>
          <w:sz w:val="24"/>
          <w:highlight w:val="none"/>
          <w:lang w:val="en-US" w:eastAsia="zh-CN"/>
          <w14:textFill>
            <w14:solidFill>
              <w14:schemeClr w14:val="tx1"/>
            </w14:solidFill>
          </w14:textFill>
        </w:rPr>
      </w:pPr>
      <w:r>
        <w:rPr>
          <w:rFonts w:hint="eastAsia" w:ascii="宋体" w:hAnsi="宋体"/>
          <w:b/>
          <w:bCs w:val="0"/>
          <w:color w:val="000000" w:themeColor="text1"/>
          <w:sz w:val="24"/>
          <w:highlight w:val="none"/>
          <w:lang w:val="en-US" w:eastAsia="zh-CN"/>
          <w14:textFill>
            <w14:solidFill>
              <w14:schemeClr w14:val="tx1"/>
            </w14:solidFill>
          </w14:textFill>
        </w:rPr>
        <w:t>七、我中心将适时组成采购小组，依法确定成交单位</w:t>
      </w:r>
    </w:p>
    <w:p>
      <w:pPr>
        <w:spacing w:line="400" w:lineRule="exact"/>
        <w:ind w:firstLine="480" w:firstLineChars="200"/>
        <w:jc w:val="left"/>
        <w:rPr>
          <w:rFonts w:hint="eastAsia" w:ascii="宋体" w:hAnsi="宋体"/>
          <w:bCs/>
          <w:color w:val="000000" w:themeColor="text1"/>
          <w:sz w:val="24"/>
          <w:highlight w:val="none"/>
          <w:lang w:val="en-US" w:eastAsia="zh-CN"/>
          <w14:textFill>
            <w14:solidFill>
              <w14:schemeClr w14:val="tx1"/>
            </w14:solidFill>
          </w14:textFill>
        </w:rPr>
      </w:pPr>
      <w:r>
        <w:rPr>
          <w:rFonts w:hint="eastAsia" w:ascii="宋体" w:hAnsi="宋体"/>
          <w:bCs/>
          <w:color w:val="000000" w:themeColor="text1"/>
          <w:sz w:val="24"/>
          <w:highlight w:val="none"/>
          <w:lang w:val="en-US" w:eastAsia="zh-CN"/>
          <w14:textFill>
            <w14:solidFill>
              <w14:schemeClr w14:val="tx1"/>
            </w14:solidFill>
          </w14:textFill>
        </w:rPr>
        <w:t xml:space="preserve">1.联系人：张颖  联系电话：0772-2822881 </w:t>
      </w:r>
    </w:p>
    <w:p>
      <w:pPr>
        <w:spacing w:line="400" w:lineRule="exact"/>
        <w:ind w:firstLine="480" w:firstLineChars="200"/>
        <w:jc w:val="left"/>
        <w:rPr>
          <w:rFonts w:hint="eastAsia" w:ascii="宋体" w:hAnsi="宋体"/>
          <w:bCs/>
          <w:color w:val="000000" w:themeColor="text1"/>
          <w:sz w:val="24"/>
          <w:highlight w:val="none"/>
          <w14:textFill>
            <w14:solidFill>
              <w14:schemeClr w14:val="tx1"/>
            </w14:solidFill>
          </w14:textFill>
        </w:rPr>
      </w:pPr>
      <w:r>
        <w:rPr>
          <w:rFonts w:hint="eastAsia" w:ascii="宋体" w:hAnsi="宋体"/>
          <w:bCs/>
          <w:color w:val="000000" w:themeColor="text1"/>
          <w:sz w:val="24"/>
          <w:highlight w:val="none"/>
          <w14:textFill>
            <w14:solidFill>
              <w14:schemeClr w14:val="tx1"/>
            </w14:solidFill>
          </w14:textFill>
        </w:rPr>
        <w:t>2.通讯地址：</w:t>
      </w:r>
      <w:r>
        <w:rPr>
          <w:rFonts w:hint="eastAsia" w:ascii="宋体" w:hAnsi="宋体"/>
          <w:bCs/>
          <w:color w:val="000000" w:themeColor="text1"/>
          <w:sz w:val="24"/>
          <w:highlight w:val="none"/>
          <w:lang w:val="en-US" w:eastAsia="zh-CN"/>
          <w14:textFill>
            <w14:solidFill>
              <w14:schemeClr w14:val="tx1"/>
            </w14:solidFill>
          </w14:textFill>
        </w:rPr>
        <w:t>柳州市三中路66号1号办公楼117</w:t>
      </w:r>
      <w:r>
        <w:rPr>
          <w:rFonts w:hint="eastAsia" w:ascii="宋体" w:hAnsi="宋体"/>
          <w:bCs/>
          <w:color w:val="000000" w:themeColor="text1"/>
          <w:sz w:val="24"/>
          <w:highlight w:val="none"/>
          <w14:textFill>
            <w14:solidFill>
              <w14:schemeClr w14:val="tx1"/>
            </w14:solidFill>
          </w14:textFill>
        </w:rPr>
        <w:t>，邮编：</w:t>
      </w:r>
      <w:r>
        <w:rPr>
          <w:rFonts w:hint="eastAsia" w:ascii="宋体" w:hAnsi="宋体"/>
          <w:bCs/>
          <w:color w:val="000000" w:themeColor="text1"/>
          <w:sz w:val="24"/>
          <w:highlight w:val="none"/>
          <w:lang w:val="en-US" w:eastAsia="zh-CN"/>
          <w14:textFill>
            <w14:solidFill>
              <w14:schemeClr w14:val="tx1"/>
            </w14:solidFill>
          </w14:textFill>
        </w:rPr>
        <w:t>545001</w:t>
      </w:r>
      <w:r>
        <w:rPr>
          <w:rFonts w:hint="eastAsia" w:ascii="宋体" w:hAnsi="宋体"/>
          <w:bCs/>
          <w:color w:val="000000" w:themeColor="text1"/>
          <w:sz w:val="24"/>
          <w:highlight w:val="none"/>
          <w14:textFill>
            <w14:solidFill>
              <w14:schemeClr w14:val="tx1"/>
            </w14:solidFill>
          </w14:textFill>
        </w:rPr>
        <w:t>。</w:t>
      </w:r>
    </w:p>
    <w:p>
      <w:pPr>
        <w:spacing w:line="400" w:lineRule="exact"/>
        <w:rPr>
          <w:rFonts w:hint="eastAsia" w:ascii="宋体" w:hAnsi="宋体" w:cs="宋体"/>
          <w:color w:val="000000" w:themeColor="text1"/>
          <w:sz w:val="24"/>
          <w:highlight w:val="none"/>
          <w14:textFill>
            <w14:solidFill>
              <w14:schemeClr w14:val="tx1"/>
            </w14:solidFill>
          </w14:textFill>
        </w:rPr>
        <w:sectPr>
          <w:headerReference r:id="rId5" w:type="default"/>
          <w:footerReference r:id="rId6" w:type="default"/>
          <w:pgSz w:w="11906" w:h="16838"/>
          <w:pgMar w:top="1104" w:right="999" w:bottom="1080" w:left="1247" w:header="794" w:footer="992" w:gutter="0"/>
          <w:pgNumType w:fmt="decimal" w:start="1"/>
          <w:cols w:space="720" w:num="1"/>
          <w:docGrid w:type="lines" w:linePitch="312" w:charSpace="0"/>
        </w:sectPr>
      </w:pPr>
    </w:p>
    <w:p>
      <w:pPr>
        <w:spacing w:line="400" w:lineRule="exact"/>
        <w:rPr>
          <w:rFonts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bCs/>
          <w:color w:val="000000" w:themeColor="text1"/>
          <w:sz w:val="24"/>
          <w:highlight w:val="none"/>
          <w:lang w:val="en-US" w:eastAsia="zh-CN"/>
          <w14:textFill>
            <w14:solidFill>
              <w14:schemeClr w14:val="tx1"/>
            </w14:solidFill>
          </w14:textFill>
        </w:rPr>
        <w:t>柳州市信息化建设管理中心</w:t>
      </w:r>
    </w:p>
    <w:p>
      <w:pPr>
        <w:spacing w:line="36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w:t>
      </w:r>
      <w:r>
        <w:rPr>
          <w:rFonts w:hint="eastAsia" w:ascii="宋体" w:hAnsi="宋体" w:cs="宋体"/>
          <w:bCs/>
          <w:color w:val="000000" w:themeColor="text1"/>
          <w:sz w:val="24"/>
          <w:highlight w:val="none"/>
          <w14:textFill>
            <w14:solidFill>
              <w14:schemeClr w14:val="tx1"/>
            </w14:solidFill>
          </w14:textFill>
        </w:rPr>
        <w:t xml:space="preserve">  202</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年</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月</w:t>
      </w:r>
      <w:r>
        <w:rPr>
          <w:rFonts w:hint="eastAsia" w:ascii="宋体" w:hAnsi="宋体" w:cs="宋体"/>
          <w:bCs/>
          <w:color w:val="000000" w:themeColor="text1"/>
          <w:sz w:val="24"/>
          <w:highlight w:val="none"/>
          <w:lang w:val="en-US" w:eastAsia="zh-CN"/>
          <w14:textFill>
            <w14:solidFill>
              <w14:schemeClr w14:val="tx1"/>
            </w14:solidFill>
          </w14:textFill>
        </w:rPr>
        <w:t>13</w:t>
      </w:r>
      <w:bookmarkStart w:id="4" w:name="_GoBack"/>
      <w:bookmarkEnd w:id="4"/>
      <w:r>
        <w:rPr>
          <w:rFonts w:hint="eastAsia" w:ascii="宋体" w:hAnsi="宋体" w:cs="宋体"/>
          <w:bCs/>
          <w:color w:val="000000" w:themeColor="text1"/>
          <w:sz w:val="24"/>
          <w:highlight w:val="none"/>
          <w14:textFill>
            <w14:solidFill>
              <w14:schemeClr w14:val="tx1"/>
            </w14:solidFill>
          </w14:textFill>
        </w:rPr>
        <w:t>日</w:t>
      </w:r>
    </w:p>
    <w:p>
      <w:pPr>
        <w:rPr>
          <w:rFonts w:ascii="宋体" w:hAnsi="宋体"/>
          <w:b/>
          <w:color w:val="000000" w:themeColor="text1"/>
          <w:sz w:val="28"/>
          <w:szCs w:val="32"/>
          <w:highlight w:val="none"/>
          <w14:textFill>
            <w14:solidFill>
              <w14:schemeClr w14:val="tx1"/>
            </w14:solidFill>
          </w14:textFill>
        </w:rPr>
      </w:pPr>
    </w:p>
    <w:p>
      <w:pPr>
        <w:pStyle w:val="10"/>
        <w:snapToGrid w:val="0"/>
        <w:spacing w:line="400" w:lineRule="exact"/>
        <w:ind w:firstLine="562" w:firstLineChars="200"/>
        <w:jc w:val="center"/>
        <w:outlineLvl w:val="0"/>
        <w:rPr>
          <w:rFonts w:hint="eastAsia" w:hAnsi="宋体"/>
          <w:b/>
          <w:color w:val="000000" w:themeColor="text1"/>
          <w:sz w:val="28"/>
          <w:szCs w:val="32"/>
          <w:highlight w:val="none"/>
          <w14:textFill>
            <w14:solidFill>
              <w14:schemeClr w14:val="tx1"/>
            </w14:solidFill>
          </w14:textFill>
        </w:rPr>
        <w:sectPr>
          <w:footerReference r:id="rId7" w:type="default"/>
          <w:pgSz w:w="11906" w:h="16838"/>
          <w:pgMar w:top="1104" w:right="999" w:bottom="1080" w:left="1247" w:header="794" w:footer="992" w:gutter="0"/>
          <w:pgNumType w:fmt="decimal"/>
          <w:cols w:space="720" w:num="1"/>
          <w:docGrid w:type="lines" w:linePitch="312" w:charSpace="0"/>
        </w:sectPr>
      </w:pPr>
    </w:p>
    <w:p>
      <w:pPr>
        <w:pStyle w:val="10"/>
        <w:snapToGrid w:val="0"/>
        <w:spacing w:line="400" w:lineRule="exact"/>
        <w:ind w:firstLine="562" w:firstLineChars="200"/>
        <w:jc w:val="center"/>
        <w:outlineLvl w:val="0"/>
        <w:rPr>
          <w:rFonts w:hAnsi="宋体"/>
          <w:b/>
          <w:color w:val="000000" w:themeColor="text1"/>
          <w:sz w:val="32"/>
          <w:szCs w:val="32"/>
          <w:highlight w:val="none"/>
          <w14:textFill>
            <w14:solidFill>
              <w14:schemeClr w14:val="tx1"/>
            </w14:solidFill>
          </w14:textFill>
        </w:rPr>
      </w:pPr>
      <w:r>
        <w:rPr>
          <w:rFonts w:hint="eastAsia" w:hAnsi="宋体"/>
          <w:b/>
          <w:color w:val="000000" w:themeColor="text1"/>
          <w:sz w:val="28"/>
          <w:szCs w:val="32"/>
          <w:highlight w:val="none"/>
          <w14:textFill>
            <w14:solidFill>
              <w14:schemeClr w14:val="tx1"/>
            </w14:solidFill>
          </w14:textFill>
        </w:rPr>
        <w:t>第</w:t>
      </w:r>
      <w:r>
        <w:rPr>
          <w:rFonts w:hint="eastAsia" w:hAnsi="宋体"/>
          <w:b/>
          <w:color w:val="000000" w:themeColor="text1"/>
          <w:sz w:val="28"/>
          <w:szCs w:val="32"/>
          <w:highlight w:val="none"/>
          <w:lang w:val="en-US" w:eastAsia="zh-CN"/>
          <w14:textFill>
            <w14:solidFill>
              <w14:schemeClr w14:val="tx1"/>
            </w14:solidFill>
          </w14:textFill>
        </w:rPr>
        <w:t>二</w:t>
      </w:r>
      <w:r>
        <w:rPr>
          <w:rFonts w:hint="eastAsia" w:hAnsi="宋体"/>
          <w:b/>
          <w:color w:val="000000" w:themeColor="text1"/>
          <w:sz w:val="28"/>
          <w:szCs w:val="32"/>
          <w:highlight w:val="none"/>
          <w14:textFill>
            <w14:solidFill>
              <w14:schemeClr w14:val="tx1"/>
            </w14:solidFill>
          </w14:textFill>
        </w:rPr>
        <w:t>章 服务需求及说明</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p>
      <w:pPr>
        <w:spacing w:line="400" w:lineRule="exact"/>
        <w:ind w:firstLine="482"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一、</w:t>
      </w:r>
      <w:r>
        <w:rPr>
          <w:rFonts w:hint="eastAsia" w:ascii="宋体" w:hAnsi="宋体" w:cs="宋体"/>
          <w:b/>
          <w:bCs/>
          <w:color w:val="000000" w:themeColor="text1"/>
          <w:sz w:val="24"/>
          <w:highlight w:val="none"/>
          <w14:textFill>
            <w14:solidFill>
              <w14:schemeClr w14:val="tx1"/>
            </w14:solidFill>
          </w14:textFill>
        </w:rPr>
        <w:t>总体目标</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通过第三方监测服务实现对柳州市本级政府网站50个（其中：1个市人民政府门户网站，10个县区人民政府门户网站，39个市直部门网站）和253个市直部门政务新媒体运行情况的数据采集、数据处理和数据分析功能，为市本级政府网站与政务新媒体提供监测预警服务，对于单项否决指标和扣分指标时时监测，网站、新媒体可用性、信息更新情况、互动回应情况、服务实用情况以及网站访问状态和错断链情况进行及时预警和告知。根据常态化的监测要求，按照国办和自治区的检查指标以月份、季度和年度为单位，进行检查采样生成月检查情况、季度检查情况和年度总结报告，为政府网站及政务新媒体管理部门提供运行情况报告。</w:t>
      </w:r>
    </w:p>
    <w:p>
      <w:pPr>
        <w:spacing w:line="400" w:lineRule="exact"/>
        <w:ind w:firstLine="482"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二、服务需求</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（一）政府网站及政务新媒体监管PC端系统服务</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按照《国务院办公厅秘书局关于印发政府网站与政务新媒体检查指标、监管工作年度考核指标》（国办秘函〔2019〕19号）文件要求，利用专业自动监测技术服务，检查网站站点无法访问、栏目不更新、错断链、附件下载、网站响应、IPv6访问监测问题；检查政务新媒体（微信、微博、头条号等）账号安全、泄密事故、发布内容不更新、响应等方面；检查新增稿件及历史稿件内容安全是否存在严重</w:t>
      </w:r>
      <w:r>
        <w:rPr>
          <w:rFonts w:hint="eastAsia" w:ascii="宋体" w:hAnsi="宋体" w:cs="宋体"/>
          <w:b w:val="0"/>
          <w:bCs w:val="0"/>
          <w:color w:val="000000" w:themeColor="text1"/>
          <w:sz w:val="24"/>
          <w:highlight w:val="none"/>
          <w:lang w:val="en-US" w:eastAsia="zh-CN"/>
          <w14:textFill>
            <w14:solidFill>
              <w14:schemeClr w14:val="tx1"/>
            </w14:solidFill>
          </w14:textFill>
        </w:rPr>
        <w:t>表述错误</w:t>
      </w:r>
      <w:r>
        <w:rPr>
          <w:rFonts w:hint="eastAsia" w:ascii="宋体" w:hAnsi="宋体" w:cs="宋体"/>
          <w:b w:val="0"/>
          <w:bCs w:val="0"/>
          <w:color w:val="000000" w:themeColor="text1"/>
          <w:sz w:val="24"/>
          <w:highlight w:val="none"/>
          <w14:textFill>
            <w14:solidFill>
              <w14:schemeClr w14:val="tx1"/>
            </w14:solidFill>
          </w14:textFill>
        </w:rPr>
        <w:t>、是否存在敏感图片、潜在问题等方面进行扫描等。</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2.监测数据支持实时在线查看或下载，了解整体网站及政务新媒体的整体健康状况，提供整改通知和反馈的渠道，方便及时整改，提升工作效率；对督办过程进行管理，掌握整改进度。</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w:t>
      </w:r>
      <w:r>
        <w:rPr>
          <w:rFonts w:hint="eastAsia" w:ascii="宋体" w:hAnsi="宋体" w:cs="宋体"/>
          <w:b w:val="0"/>
          <w:bCs w:val="0"/>
          <w:color w:val="000000" w:themeColor="text1"/>
          <w:sz w:val="24"/>
          <w:highlight w:val="none"/>
          <w:lang w:val="en-US"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平台功能要求</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通过网站和政务新媒体监测平台对网站及政务新媒体开展技术监测，实现监测过程、监测结果和结果整改的全过程留痕可见。供应商必须提供的电脑端监测系统（平台）支持，并满足以下功能需求。</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1</w:t>
      </w:r>
      <w:r>
        <w:rPr>
          <w:rFonts w:hint="eastAsia" w:ascii="宋体" w:hAnsi="宋体" w:cs="宋体"/>
          <w:b w:val="0"/>
          <w:bCs w:val="0"/>
          <w:color w:val="000000" w:themeColor="text1"/>
          <w:sz w:val="24"/>
          <w:highlight w:val="none"/>
          <w14:textFill>
            <w14:solidFill>
              <w14:schemeClr w14:val="tx1"/>
            </w14:solidFill>
          </w14:textFill>
        </w:rPr>
        <w:t>）提供监测系统和政务新媒体检查系统支持监测总览、数据看板、首页更新情况、栏目更新情况、错敏信息情况、隐私泄露、外链暗链、首页连通性、IPV6监测情况、栏目管理和高级服务（报告服务、数据自查、自定义词）等。</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2</w:t>
      </w:r>
      <w:r>
        <w:rPr>
          <w:rFonts w:hint="eastAsia" w:ascii="宋体" w:hAnsi="宋体" w:cs="宋体"/>
          <w:b w:val="0"/>
          <w:bCs w:val="0"/>
          <w:color w:val="000000" w:themeColor="text1"/>
          <w:sz w:val="24"/>
          <w:highlight w:val="none"/>
          <w14:textFill>
            <w14:solidFill>
              <w14:schemeClr w14:val="tx1"/>
            </w14:solidFill>
          </w14:textFill>
        </w:rPr>
        <w:t>）提供系统PC端监测系统和网站人工检查复核报告服务有关材料下载。PC端监测系统反映的稿件内容安全是否存在严重错别字和其他潜在问题等方面，提供扫描和内容安全检测服务报告下载等。</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3</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系统支持服务期间设置的预警机制，预警方式包括：在线预警、微信预警、短信预警或邮件预警等功能</w:t>
      </w:r>
    </w:p>
    <w:p>
      <w:pPr>
        <w:spacing w:line="400" w:lineRule="exact"/>
        <w:ind w:firstLine="480" w:firstLineChars="200"/>
        <w:rPr>
          <w:rFonts w:hint="eastAsia" w:ascii="宋体" w:hAnsi="宋体" w:cs="宋体"/>
          <w:b w:val="0"/>
          <w:bCs w:val="0"/>
          <w:color w:val="000000" w:themeColor="text1"/>
          <w:sz w:val="24"/>
          <w:highlight w:val="none"/>
          <w:lang w:eastAsia="zh-CN"/>
          <w14:textFill>
            <w14:solidFill>
              <w14:schemeClr w14:val="tx1"/>
            </w14:solidFill>
          </w14:textFill>
        </w:rPr>
        <w:sectPr>
          <w:footerReference r:id="rId8" w:type="default"/>
          <w:pgSz w:w="11906" w:h="16838"/>
          <w:pgMar w:top="1104" w:right="999" w:bottom="1080" w:left="1247" w:header="794" w:footer="992" w:gutter="0"/>
          <w:pgNumType w:fmt="decimal"/>
          <w:cols w:space="720" w:num="1"/>
          <w:docGrid w:type="lines" w:linePitch="312" w:charSpace="0"/>
        </w:sectPr>
      </w:pP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4</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供应商提供的系统查看供应商服务情况，对供应商服务成果可实时PC后台系统在线查看是否整改存在问题的错误或下载EXCEL表，支持实时查看错别字是否修改状态提示，支持手动调整状态。采购人可在后台系统了解和掌握网站整体健康状况，并方便及时整改。</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5</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提供事后监测服务要求为24小时*7天的PC系统实时监测服务，支持短信、微信小程序提醒，支持自主增减负责人和提示提醒模式。</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6</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提供网站历史稿件和新增稿件</w:t>
      </w:r>
      <w:r>
        <w:rPr>
          <w:rFonts w:hint="eastAsia" w:ascii="宋体" w:hAnsi="宋体" w:cs="宋体"/>
          <w:b w:val="0"/>
          <w:bCs w:val="0"/>
          <w:color w:val="000000" w:themeColor="text1"/>
          <w:sz w:val="24"/>
          <w:highlight w:val="none"/>
          <w:lang w:val="en-US" w:eastAsia="zh-CN"/>
          <w14:textFill>
            <w14:solidFill>
              <w14:schemeClr w14:val="tx1"/>
            </w14:solidFill>
          </w14:textFill>
        </w:rPr>
        <w:t>严重表述错误和敏感信息</w:t>
      </w:r>
      <w:r>
        <w:rPr>
          <w:rFonts w:hint="eastAsia" w:ascii="宋体" w:hAnsi="宋体" w:cs="宋体"/>
          <w:b w:val="0"/>
          <w:bCs w:val="0"/>
          <w:color w:val="000000" w:themeColor="text1"/>
          <w:sz w:val="24"/>
          <w:highlight w:val="none"/>
          <w14:textFill>
            <w14:solidFill>
              <w14:schemeClr w14:val="tx1"/>
            </w14:solidFill>
          </w14:textFill>
        </w:rPr>
        <w:t>等内容安全问题支持勾选。</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7</w:t>
      </w:r>
      <w:r>
        <w:rPr>
          <w:rFonts w:hint="eastAsia" w:ascii="宋体" w:hAnsi="宋体" w:cs="宋体"/>
          <w:b w:val="0"/>
          <w:bCs w:val="0"/>
          <w:color w:val="000000" w:themeColor="text1"/>
          <w:sz w:val="24"/>
          <w:highlight w:val="none"/>
          <w:lang w:eastAsia="zh-CN"/>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t>系统支持大数据分析系统展示，系统支持人工复查和及时预警功能。</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（二）政府网站全面检测服务</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市和县区人民政府门户网站检测报告：对门户网站严格按照《国务院办公厅秘书局关于印发政府网站与政务新媒体检查指标》的三大部分指标（单项否决项、加分项与扣分项）的网站各项指标要求，通过对网站监测数据以及对政策文件、政策解读、解读比例、解读关联、办事内容准确度、表格样表、IPv6改造情况、页面兼容性等信息进行人工核实筛选出具数据报告或问题清单作为服务交付成果。</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市直部门网站检测报告：对市直部门网站严格按照《国务院办公厅秘书局关于印发政府网站与政务新媒体检查指标》第一部分指标（单项否决项）关于网站的各项指标需进行人工核实筛选出具数据报告或问题清单作为服务交付成果。</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3.服务方式：按季度和年度频率提供检测报告方式。</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（三）政务新媒体全面检测服务</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每日或每周对政务新媒体（微信、微博及头条号等）账号安全、泄密事故、发布内容不更新、响应等方面进行自动扫描等，监测结果在系统后台展示，支持用户实时查看和下载，也可通过短信、微信及邮件等方式进行预警；主管单位通过系统后台可以查看管辖区域内政务新媒体的监测情况。</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政务新媒体检测报告：严格按照《国务院办公厅秘书局关于印发政府网站与政务新媒体检查指标》中的政务新媒体指标要求，根据系统监测数据，结合人工监测对监测时间点前两周内无更新、无法下载或使用，提供有效互动功能等。通过系统+人工核查中将予以排查；出具数据报告或问题清单，作为服务交付成果。</w:t>
      </w:r>
    </w:p>
    <w:p>
      <w:pPr>
        <w:spacing w:line="400" w:lineRule="exact"/>
        <w:ind w:firstLine="480" w:firstLineChars="200"/>
        <w:rPr>
          <w:rFonts w:hint="eastAsia" w:ascii="宋体" w:hAnsi="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3.服务方式：每周对提供政务新媒体的更新情况统计表</w:t>
      </w:r>
      <w:r>
        <w:rPr>
          <w:rFonts w:hint="eastAsia" w:ascii="宋体" w:hAnsi="宋体" w:cs="宋体"/>
          <w:b w:val="0"/>
          <w:bCs w:val="0"/>
          <w:color w:val="000000" w:themeColor="text1"/>
          <w:sz w:val="24"/>
          <w:highlight w:val="none"/>
          <w:lang w:eastAsia="zh-CN"/>
          <w14:textFill>
            <w14:solidFill>
              <w14:schemeClr w14:val="tx1"/>
            </w14:solidFill>
          </w14:textFill>
        </w:rPr>
        <w:t>。</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（四）内容安全全面检测服务</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1.每日针对网站与政务新媒体监测的新增稿件提供错敏字隐私内容，暗链等情况进行检查，详情记录相应问题所在位置并给出相应的修改建议等，通过短信、微信及邮件等方式进行预警，可实时查看网站内容安全监测综述报告。主管单位通过系统后台可以查看管辖区域内网站及政务新媒体内容安全的监测情况。</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2.政府网站与政务新媒体内容安全审核报告：针对系统对政府网站（政务新媒体）进行全面检测的系统数据，进行人工审核排查</w:t>
      </w:r>
      <w:r>
        <w:rPr>
          <w:rFonts w:hint="eastAsia" w:ascii="宋体" w:hAnsi="宋体" w:cs="宋体"/>
          <w:b w:val="0"/>
          <w:bCs w:val="0"/>
          <w:color w:val="000000" w:themeColor="text1"/>
          <w:sz w:val="24"/>
          <w:highlight w:val="none"/>
          <w:lang w:val="en-US" w:eastAsia="zh-CN"/>
          <w14:textFill>
            <w14:solidFill>
              <w14:schemeClr w14:val="tx1"/>
            </w14:solidFill>
          </w14:textFill>
        </w:rPr>
        <w:t>并</w:t>
      </w:r>
      <w:r>
        <w:rPr>
          <w:rFonts w:hint="eastAsia" w:ascii="宋体" w:hAnsi="宋体" w:cs="宋体"/>
          <w:b w:val="0"/>
          <w:bCs w:val="0"/>
          <w:color w:val="000000" w:themeColor="text1"/>
          <w:sz w:val="24"/>
          <w:highlight w:val="none"/>
          <w14:textFill>
            <w14:solidFill>
              <w14:schemeClr w14:val="tx1"/>
            </w14:solidFill>
          </w14:textFill>
        </w:rPr>
        <w:t>进行总结分析编制报告。</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3.服务方式：提供7*24小时的系统或平台监测服务，建立六人以上专群服务小组，做到工作日内发现严重错别字的情况下第一时间通知和提醒。</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（五）事前检测平台</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1.</w:t>
      </w:r>
      <w:r>
        <w:rPr>
          <w:rFonts w:hint="eastAsia" w:ascii="宋体" w:hAnsi="宋体" w:cs="宋体"/>
          <w:b w:val="0"/>
          <w:bCs w:val="0"/>
          <w:color w:val="000000" w:themeColor="text1"/>
          <w:sz w:val="24"/>
          <w:highlight w:val="none"/>
          <w14:textFill>
            <w14:solidFill>
              <w14:schemeClr w14:val="tx1"/>
            </w14:solidFill>
          </w14:textFill>
        </w:rPr>
        <w:t>以云服务方式提供在线检测、文件检测、URL监测、自定义敏感词等功能，针对文本编辑、网站稿件发布、其他稿件发布、URL监测等多个场景的事前检测能力，帮助用户在发稿前有效检测</w:t>
      </w:r>
      <w:r>
        <w:rPr>
          <w:rFonts w:hint="eastAsia" w:ascii="宋体" w:hAnsi="宋体" w:cs="宋体"/>
          <w:b w:val="0"/>
          <w:bCs w:val="0"/>
          <w:color w:val="000000" w:themeColor="text1"/>
          <w:sz w:val="24"/>
          <w:highlight w:val="none"/>
          <w:lang w:val="en-US" w:eastAsia="zh-CN"/>
          <w14:textFill>
            <w14:solidFill>
              <w14:schemeClr w14:val="tx1"/>
            </w14:solidFill>
          </w14:textFill>
        </w:rPr>
        <w:t>严重表述错误和敏感信息</w:t>
      </w: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14:textFill>
            <w14:solidFill>
              <w14:schemeClr w14:val="tx1"/>
            </w14:solidFill>
          </w14:textFill>
        </w:rPr>
        <w:br w:type="textWrapping"/>
      </w:r>
      <w:r>
        <w:rPr>
          <w:rFonts w:hint="eastAsia" w:ascii="宋体" w:hAnsi="宋体" w:cs="宋体"/>
          <w:b w:val="0"/>
          <w:bCs w:val="0"/>
          <w:color w:val="000000" w:themeColor="text1"/>
          <w:sz w:val="24"/>
          <w:highlight w:val="none"/>
          <w:lang w:val="en-US" w:eastAsia="zh-CN"/>
          <w14:textFill>
            <w14:solidFill>
              <w14:schemeClr w14:val="tx1"/>
            </w14:solidFill>
          </w14:textFill>
        </w:rPr>
        <w:t xml:space="preserve">    2.</w:t>
      </w:r>
      <w:r>
        <w:rPr>
          <w:rFonts w:hint="eastAsia" w:ascii="宋体" w:hAnsi="宋体" w:cs="宋体"/>
          <w:b w:val="0"/>
          <w:bCs w:val="0"/>
          <w:color w:val="000000" w:themeColor="text1"/>
          <w:sz w:val="24"/>
          <w:highlight w:val="none"/>
          <w14:textFill>
            <w14:solidFill>
              <w14:schemeClr w14:val="tx1"/>
            </w14:solidFill>
          </w14:textFill>
        </w:rPr>
        <w:t>属于云服务按年</w:t>
      </w:r>
      <w:r>
        <w:rPr>
          <w:rFonts w:hint="eastAsia" w:ascii="宋体" w:hAnsi="宋体" w:cs="宋体"/>
          <w:b w:val="0"/>
          <w:bCs w:val="0"/>
          <w:color w:val="000000" w:themeColor="text1"/>
          <w:sz w:val="24"/>
          <w:highlight w:val="none"/>
          <w:lang w:val="en-US" w:eastAsia="zh-CN"/>
          <w14:textFill>
            <w14:solidFill>
              <w14:schemeClr w14:val="tx1"/>
            </w14:solidFill>
          </w14:textFill>
        </w:rPr>
        <w:t>服务</w:t>
      </w:r>
      <w:r>
        <w:rPr>
          <w:rFonts w:hint="eastAsia" w:ascii="宋体" w:hAnsi="宋体" w:cs="宋体"/>
          <w:b w:val="0"/>
          <w:bCs w:val="0"/>
          <w:color w:val="000000" w:themeColor="text1"/>
          <w:sz w:val="24"/>
          <w:highlight w:val="none"/>
          <w14:textFill>
            <w14:solidFill>
              <w14:schemeClr w14:val="tx1"/>
            </w14:solidFill>
          </w14:textFill>
        </w:rPr>
        <w:t>，不需在本地部署系统，免费提供系统故障解决，实时更新最新字库和功能模块，让用户第一时间享用最新系统功能。使用统一的云平台管理帐号浏览器登录即可使用，用户无需部署任何软硬件产品。</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3.</w:t>
      </w:r>
      <w:r>
        <w:rPr>
          <w:rFonts w:hint="eastAsia" w:ascii="宋体" w:hAnsi="宋体" w:cs="宋体"/>
          <w:b w:val="0"/>
          <w:bCs w:val="0"/>
          <w:color w:val="000000" w:themeColor="text1"/>
          <w:sz w:val="24"/>
          <w:highlight w:val="none"/>
          <w14:textFill>
            <w14:solidFill>
              <w14:schemeClr w14:val="tx1"/>
            </w14:solidFill>
          </w14:textFill>
        </w:rPr>
        <w:t>基于网站（拓尔思）系统后台部署事前监管接口代码，实现对文本内容做事前检查服务。点击纠错，即可对文本内容做错别字/敏感词词扫描。</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4.</w:t>
      </w:r>
      <w:r>
        <w:rPr>
          <w:rFonts w:hint="eastAsia" w:ascii="宋体" w:hAnsi="宋体" w:cs="宋体"/>
          <w:b w:val="0"/>
          <w:bCs w:val="0"/>
          <w:color w:val="000000" w:themeColor="text1"/>
          <w:sz w:val="24"/>
          <w:highlight w:val="none"/>
          <w14:textFill>
            <w14:solidFill>
              <w14:schemeClr w14:val="tx1"/>
            </w14:solidFill>
          </w14:textFill>
        </w:rPr>
        <w:t>内容安全监测系统的字库包含词库类别。</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w:t>
      </w:r>
      <w:r>
        <w:rPr>
          <w:rFonts w:hint="eastAsia" w:ascii="宋体" w:hAnsi="宋体" w:cs="宋体"/>
          <w:b w:val="0"/>
          <w:bCs w:val="0"/>
          <w:color w:val="000000" w:themeColor="text1"/>
          <w:sz w:val="24"/>
          <w:highlight w:val="none"/>
          <w:lang w:val="en-US" w:eastAsia="zh-CN"/>
          <w14:textFill>
            <w14:solidFill>
              <w14:schemeClr w14:val="tx1"/>
            </w14:solidFill>
          </w14:textFill>
        </w:rPr>
        <w:t>六</w:t>
      </w:r>
      <w:r>
        <w:rPr>
          <w:rFonts w:hint="eastAsia" w:ascii="宋体" w:hAnsi="宋体" w:cs="宋体"/>
          <w:b w:val="0"/>
          <w:bCs w:val="0"/>
          <w:color w:val="000000" w:themeColor="text1"/>
          <w:sz w:val="24"/>
          <w:highlight w:val="none"/>
          <w14:textFill>
            <w14:solidFill>
              <w14:schemeClr w14:val="tx1"/>
            </w14:solidFill>
          </w14:textFill>
        </w:rPr>
        <w:t>）其他服务</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在合同期内至少提供一次全市的业务培训指导，及时报告并全程提供技术支持与配合。</w:t>
      </w:r>
    </w:p>
    <w:p>
      <w:pPr>
        <w:spacing w:line="400" w:lineRule="exact"/>
        <w:ind w:firstLine="482"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三、</w:t>
      </w:r>
      <w:r>
        <w:rPr>
          <w:rFonts w:hint="eastAsia" w:ascii="宋体" w:hAnsi="宋体" w:cs="宋体"/>
          <w:b/>
          <w:bCs/>
          <w:color w:val="000000" w:themeColor="text1"/>
          <w:sz w:val="24"/>
          <w:highlight w:val="none"/>
          <w:lang w:val="en-US" w:eastAsia="zh-CN"/>
          <w14:textFill>
            <w14:solidFill>
              <w14:schemeClr w14:val="tx1"/>
            </w14:solidFill>
          </w14:textFill>
        </w:rPr>
        <w:t>服务</w:t>
      </w:r>
      <w:r>
        <w:rPr>
          <w:rFonts w:hint="eastAsia" w:ascii="宋体" w:hAnsi="宋体" w:cs="宋体"/>
          <w:b/>
          <w:bCs/>
          <w:color w:val="000000" w:themeColor="text1"/>
          <w:sz w:val="24"/>
          <w:highlight w:val="none"/>
          <w14:textFill>
            <w14:solidFill>
              <w14:schemeClr w14:val="tx1"/>
            </w14:solidFill>
          </w14:textFill>
        </w:rPr>
        <w:t>成果</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（一）提供市本级政府网站和政务新媒体7*24小时不间断服务，实现严重问题及时预警。</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（二）每日、每周、每月自动生成系统监测结果。</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（三）每季度出具系统+人工监测报告。</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（四）每年出具年度监测总结报告。</w:t>
      </w:r>
    </w:p>
    <w:p>
      <w:pPr>
        <w:spacing w:line="400" w:lineRule="exact"/>
        <w:ind w:firstLine="482" w:firstLineChars="200"/>
        <w:rPr>
          <w:rFonts w:hint="eastAsia" w:ascii="宋体" w:hAnsi="宋体" w:cs="宋体"/>
          <w:b/>
          <w:bCs/>
          <w:color w:val="000000" w:themeColor="text1"/>
          <w:sz w:val="24"/>
          <w:highlight w:val="none"/>
          <w:lang w:val="en-US" w:eastAsia="zh-CN"/>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四、服务期限</w:t>
      </w:r>
    </w:p>
    <w:p>
      <w:pPr>
        <w:spacing w:line="400" w:lineRule="exact"/>
        <w:ind w:firstLine="480" w:firstLineChars="200"/>
        <w:rPr>
          <w:rFonts w:hint="default" w:ascii="宋体" w:hAnsi="宋体" w:cs="宋体"/>
          <w:b w:val="0"/>
          <w:bCs w:val="0"/>
          <w:color w:val="000000" w:themeColor="text1"/>
          <w:sz w:val="24"/>
          <w:highlight w:val="none"/>
          <w:lang w:val="en-US" w:eastAsia="zh-CN"/>
          <w14:textFill>
            <w14:solidFill>
              <w14:schemeClr w14:val="tx1"/>
            </w14:solidFill>
          </w14:textFill>
        </w:rPr>
      </w:pPr>
      <w:r>
        <w:rPr>
          <w:rFonts w:hint="eastAsia" w:ascii="宋体" w:hAnsi="宋体" w:cs="宋体"/>
          <w:b w:val="0"/>
          <w:bCs w:val="0"/>
          <w:color w:val="000000" w:themeColor="text1"/>
          <w:sz w:val="24"/>
          <w:highlight w:val="none"/>
          <w:lang w:val="en-US" w:eastAsia="zh-CN"/>
          <w14:textFill>
            <w14:solidFill>
              <w14:schemeClr w14:val="tx1"/>
            </w14:solidFill>
          </w14:textFill>
        </w:rPr>
        <w:t>合同签订日期起1年。</w:t>
      </w:r>
    </w:p>
    <w:p>
      <w:pPr>
        <w:spacing w:line="400" w:lineRule="exact"/>
        <w:ind w:firstLine="480" w:firstLineChars="200"/>
        <w:rPr>
          <w:rFonts w:hint="eastAsia" w:ascii="宋体" w:hAnsi="宋体" w:cs="宋体"/>
          <w:b w:val="0"/>
          <w:bCs w:val="0"/>
          <w:color w:val="000000" w:themeColor="text1"/>
          <w:sz w:val="24"/>
          <w:highlight w:val="none"/>
          <w14:textFill>
            <w14:solidFill>
              <w14:schemeClr w14:val="tx1"/>
            </w14:solidFill>
          </w14:textFill>
        </w:rPr>
      </w:pPr>
    </w:p>
    <w:p>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br w:type="page"/>
      </w:r>
    </w:p>
    <w:p>
      <w:pPr>
        <w:spacing w:line="500" w:lineRule="exact"/>
        <w:jc w:val="center"/>
        <w:outlineLvl w:val="0"/>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szCs w:val="32"/>
          <w:highlight w:val="none"/>
          <w14:textFill>
            <w14:solidFill>
              <w14:schemeClr w14:val="tx1"/>
            </w14:solidFill>
          </w14:textFill>
        </w:rPr>
        <w:t>第</w:t>
      </w:r>
      <w:r>
        <w:rPr>
          <w:rFonts w:hint="eastAsia" w:ascii="宋体" w:hAnsi="宋体"/>
          <w:b/>
          <w:color w:val="000000" w:themeColor="text1"/>
          <w:sz w:val="28"/>
          <w:szCs w:val="32"/>
          <w:highlight w:val="none"/>
          <w:lang w:val="en-US" w:eastAsia="zh-CN"/>
          <w14:textFill>
            <w14:solidFill>
              <w14:schemeClr w14:val="tx1"/>
            </w14:solidFill>
          </w14:textFill>
        </w:rPr>
        <w:t>三</w:t>
      </w:r>
      <w:r>
        <w:rPr>
          <w:rFonts w:hint="eastAsia" w:ascii="宋体" w:hAnsi="宋体"/>
          <w:b/>
          <w:color w:val="000000" w:themeColor="text1"/>
          <w:sz w:val="28"/>
          <w:szCs w:val="32"/>
          <w:highlight w:val="none"/>
          <w14:textFill>
            <w14:solidFill>
              <w14:schemeClr w14:val="tx1"/>
            </w14:solidFill>
          </w14:textFill>
        </w:rPr>
        <w:t>章 评审办法及成交标准</w:t>
      </w:r>
    </w:p>
    <w:p>
      <w:pPr>
        <w:pStyle w:val="10"/>
        <w:spacing w:before="72" w:beforeLines="30" w:after="72" w:afterLines="30"/>
        <w:ind w:firstLine="482" w:firstLineChars="200"/>
        <w:jc w:val="center"/>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综合评分法</w:t>
      </w:r>
    </w:p>
    <w:p>
      <w:pPr>
        <w:pStyle w:val="10"/>
        <w:spacing w:line="400" w:lineRule="exact"/>
        <w:ind w:firstLine="482" w:firstLineChars="200"/>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一、评审原则</w:t>
      </w:r>
    </w:p>
    <w:p>
      <w:pPr>
        <w:pStyle w:val="1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(一)评审小组构成：本项目的评审小组由采购人单位采购小组成员组成，成员人数应当为三人以上（含三人）单数。</w:t>
      </w:r>
    </w:p>
    <w:p>
      <w:pPr>
        <w:pStyle w:val="1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(二)评审依据：评审小组将以采购文件和响应文件为评定依据进行评审。</w:t>
      </w:r>
    </w:p>
    <w:p>
      <w:pPr>
        <w:pStyle w:val="10"/>
        <w:spacing w:line="400" w:lineRule="exact"/>
        <w:ind w:firstLine="480" w:firstLineChars="200"/>
        <w:rPr>
          <w:rFonts w:hAnsi="宋体" w:cs="宋体"/>
          <w:color w:val="000000" w:themeColor="text1"/>
          <w:sz w:val="24"/>
          <w:szCs w:val="24"/>
          <w:highlight w:val="none"/>
          <w14:textFill>
            <w14:solidFill>
              <w14:schemeClr w14:val="tx1"/>
            </w14:solidFill>
          </w14:textFill>
        </w:rPr>
      </w:pPr>
      <w:r>
        <w:rPr>
          <w:rFonts w:hint="eastAsia" w:hAnsi="宋体" w:cs="宋体"/>
          <w:color w:val="000000" w:themeColor="text1"/>
          <w:sz w:val="24"/>
          <w:szCs w:val="24"/>
          <w:highlight w:val="none"/>
          <w14:textFill>
            <w14:solidFill>
              <w14:schemeClr w14:val="tx1"/>
            </w14:solidFill>
          </w14:textFill>
        </w:rPr>
        <w:t>(三)评审办法：采用百分制综合评分法。</w:t>
      </w:r>
    </w:p>
    <w:p>
      <w:pPr>
        <w:pStyle w:val="10"/>
        <w:spacing w:line="400" w:lineRule="exact"/>
        <w:ind w:firstLine="482" w:firstLineChars="200"/>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二、评审方法</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评审小组会对报价人的响应文件资格性和符合性进行检查，对合格的响应文件，采用百分制综合评分法进行评审。</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评审小组将以采购文件、响应文件为评审依据，提出最后总得分最高的报价人作为成交人。</w:t>
      </w:r>
    </w:p>
    <w:p>
      <w:pPr>
        <w:pStyle w:val="10"/>
        <w:spacing w:line="400" w:lineRule="exact"/>
        <w:ind w:left="420"/>
        <w:outlineLvl w:val="1"/>
        <w:rPr>
          <w:rFonts w:hAnsi="宋体" w:cs="宋体"/>
          <w:color w:val="000000" w:themeColor="text1"/>
          <w:kern w:val="2"/>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三、评分细则</w:t>
      </w:r>
      <w:r>
        <w:rPr>
          <w:rFonts w:hint="eastAsia" w:hAnsi="宋体" w:cs="宋体"/>
          <w:color w:val="000000" w:themeColor="text1"/>
          <w:kern w:val="2"/>
          <w:sz w:val="24"/>
          <w:szCs w:val="24"/>
          <w:highlight w:val="none"/>
          <w14:textFill>
            <w14:solidFill>
              <w14:schemeClr w14:val="tx1"/>
            </w14:solidFill>
          </w14:textFill>
        </w:rPr>
        <w:t>（按四舍五入取至百分位）</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1．价格分……………………………………………（满分20分）</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价格分计算公式：某投标人价格分=基准价/某投标人评标报价金额×20分</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2. 技术分……………………………………………（满分60分）</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（1）监测服务内容响应分（满分30分）：</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一档（10）：满足响应文件要求，简单描述了服务内容以及服务方式，方案具有一定的可行性。</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二档（20）：满足响应文件要求，详细描述了服务内容以及服务方式，并提供有服务保障方案。</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三档（30）：满足响应文件要求，监测服务实施方案详细描述了服务内容以及服务方式；并提供有针对性做出一个市门户人工检查报告、事前监测实施方案和服务保障方案。</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（2）监测系统（平台）功能分（满分30分）</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一档（10）：监测云系统（平台）功能一般，基本满足监测需求。</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二档（20）：监测云系统（平台）功能良好，能满足监测需求。</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三档（30）：监测云系统（平台）功能先进，能满足全方面监测需求。</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3.业绩分……………………………………………（满分20分）</w:t>
      </w:r>
    </w:p>
    <w:p>
      <w:pPr>
        <w:pStyle w:val="10"/>
        <w:spacing w:line="400" w:lineRule="exact"/>
        <w:ind w:firstLine="480" w:firstLineChars="200"/>
        <w:outlineLvl w:val="1"/>
        <w:rPr>
          <w:rFonts w:hint="eastAsia" w:hAnsi="宋体" w:cs="宋体"/>
          <w:b w:val="0"/>
          <w:bCs w:val="0"/>
          <w:color w:val="000000" w:themeColor="text1"/>
          <w:sz w:val="24"/>
          <w:szCs w:val="24"/>
          <w:highlight w:val="none"/>
          <w14:textFill>
            <w14:solidFill>
              <w14:schemeClr w14:val="tx1"/>
            </w14:solidFill>
          </w14:textFill>
        </w:rPr>
      </w:pPr>
      <w:r>
        <w:rPr>
          <w:rFonts w:hint="eastAsia" w:hAnsi="宋体" w:cs="宋体"/>
          <w:b w:val="0"/>
          <w:bCs w:val="0"/>
          <w:color w:val="000000" w:themeColor="text1"/>
          <w:sz w:val="24"/>
          <w:szCs w:val="24"/>
          <w:highlight w:val="none"/>
          <w14:textFill>
            <w14:solidFill>
              <w14:schemeClr w14:val="tx1"/>
            </w14:solidFill>
          </w14:textFill>
        </w:rPr>
        <w:t>供应商2022年以来有广西设区市及以上的政府网站和政务新媒体监测服务项目业绩的（提供合同复印件或相关证明材料），每有一个案例得5分，满分20分。</w:t>
      </w:r>
    </w:p>
    <w:p>
      <w:pPr>
        <w:pStyle w:val="10"/>
        <w:spacing w:line="400" w:lineRule="exact"/>
        <w:ind w:firstLine="482" w:firstLineChars="200"/>
        <w:outlineLvl w:val="1"/>
        <w:rPr>
          <w:rFonts w:hAnsi="宋体" w:cs="宋体"/>
          <w:b/>
          <w:bCs/>
          <w:color w:val="000000" w:themeColor="text1"/>
          <w:sz w:val="24"/>
          <w:szCs w:val="24"/>
          <w:highlight w:val="none"/>
          <w14:textFill>
            <w14:solidFill>
              <w14:schemeClr w14:val="tx1"/>
            </w14:solidFill>
          </w14:textFill>
        </w:rPr>
      </w:pPr>
      <w:r>
        <w:rPr>
          <w:rFonts w:hint="eastAsia" w:hAnsi="宋体" w:cs="宋体"/>
          <w:b/>
          <w:bCs/>
          <w:color w:val="000000" w:themeColor="text1"/>
          <w:sz w:val="24"/>
          <w:szCs w:val="24"/>
          <w:highlight w:val="none"/>
          <w14:textFill>
            <w14:solidFill>
              <w14:schemeClr w14:val="tx1"/>
            </w14:solidFill>
          </w14:textFill>
        </w:rPr>
        <w:t>四、成交候选人推荐原则</w:t>
      </w:r>
    </w:p>
    <w:p>
      <w:pPr>
        <w:spacing w:line="400" w:lineRule="exact"/>
        <w:ind w:firstLine="480" w:firstLineChars="200"/>
        <w:jc w:val="left"/>
        <w:rPr>
          <w:rFonts w:ascii="宋体" w:hAnsi="宋体"/>
          <w:bCs/>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评标小组将根据得分由高到低排列次序（总得分相同时，依次按最终报价低优先、技术分高优先、商务分高优先的顺序排列）推荐综合排名第一名的供应商为成交候选供应商。排名第一的成交候选人放弃成交、因不可抗力提出不能履行合同，采购单位可以确定排名第二的成交候选人为成交人，以此类推。采购人也可以重新组织采购。</w:t>
      </w:r>
      <w:r>
        <w:rPr>
          <w:rFonts w:hint="eastAsia" w:ascii="宋体" w:hAnsi="宋体" w:cs="宋体"/>
          <w:bCs/>
          <w:color w:val="000000" w:themeColor="text1"/>
          <w:sz w:val="24"/>
          <w:highlight w:val="none"/>
          <w14:textFill>
            <w14:solidFill>
              <w14:schemeClr w14:val="tx1"/>
            </w14:solidFill>
          </w14:textFill>
        </w:rPr>
        <w:br w:type="page"/>
      </w:r>
    </w:p>
    <w:p>
      <w:pPr>
        <w:spacing w:line="500" w:lineRule="exact"/>
        <w:ind w:firstLine="3534" w:firstLineChars="1100"/>
        <w:outlineLvl w:val="0"/>
        <w:rPr>
          <w:rFonts w:ascii="宋体" w:hAnsi="宋体"/>
          <w:b/>
          <w:color w:val="000000" w:themeColor="text1"/>
          <w:sz w:val="28"/>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第</w:t>
      </w:r>
      <w:r>
        <w:rPr>
          <w:rFonts w:hint="eastAsia" w:ascii="宋体" w:hAnsi="宋体"/>
          <w:b/>
          <w:color w:val="000000" w:themeColor="text1"/>
          <w:sz w:val="28"/>
          <w:szCs w:val="32"/>
          <w:highlight w:val="none"/>
          <w14:textFill>
            <w14:solidFill>
              <w14:schemeClr w14:val="tx1"/>
            </w14:solidFill>
          </w14:textFill>
        </w:rPr>
        <w:t>四</w:t>
      </w:r>
      <w:r>
        <w:rPr>
          <w:rFonts w:hint="eastAsia" w:ascii="宋体" w:hAnsi="宋体"/>
          <w:b/>
          <w:color w:val="000000" w:themeColor="text1"/>
          <w:sz w:val="32"/>
          <w:szCs w:val="32"/>
          <w:highlight w:val="none"/>
          <w14:textFill>
            <w14:solidFill>
              <w14:schemeClr w14:val="tx1"/>
            </w14:solidFill>
          </w14:textFill>
        </w:rPr>
        <w:t>章</w:t>
      </w:r>
      <w:r>
        <w:rPr>
          <w:rFonts w:hint="eastAsia" w:eastAsia="仿宋_GB2312"/>
          <w:b/>
          <w:bCs/>
          <w:color w:val="000000" w:themeColor="text1"/>
          <w:sz w:val="32"/>
          <w:szCs w:val="32"/>
          <w14:textFill>
            <w14:solidFill>
              <w14:schemeClr w14:val="tx1"/>
            </w14:solidFill>
          </w14:textFill>
        </w:rPr>
        <w:t>响应文件提供资料</w:t>
      </w:r>
    </w:p>
    <w:p>
      <w:pPr>
        <w:spacing w:line="500" w:lineRule="exact"/>
        <w:jc w:val="center"/>
        <w:rPr>
          <w:rFonts w:ascii="宋体" w:hAnsi="宋体"/>
          <w:b/>
          <w:color w:val="000000" w:themeColor="text1"/>
          <w:sz w:val="28"/>
          <w:szCs w:val="32"/>
          <w:highlight w:val="none"/>
          <w14:textFill>
            <w14:solidFill>
              <w14:schemeClr w14:val="tx1"/>
            </w14:solidFill>
          </w14:textFill>
        </w:rPr>
      </w:pPr>
    </w:p>
    <w:p>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bookmarkStart w:id="0" w:name="_Toc301424939"/>
      <w:bookmarkStart w:id="1" w:name="_Toc293863061"/>
      <w:bookmarkStart w:id="2" w:name="_Toc326217565"/>
      <w:bookmarkStart w:id="3" w:name="_Toc293863331"/>
      <w:r>
        <w:rPr>
          <w:rFonts w:hint="eastAsia" w:ascii="宋体" w:hAnsi="宋体" w:cs="宋体"/>
          <w:color w:val="000000" w:themeColor="text1"/>
          <w:sz w:val="24"/>
          <w:highlight w:val="none"/>
          <w14:textFill>
            <w14:solidFill>
              <w14:schemeClr w14:val="tx1"/>
            </w14:solidFill>
          </w14:textFill>
        </w:rPr>
        <w:t>一、</w:t>
      </w:r>
      <w:bookmarkEnd w:id="0"/>
      <w:bookmarkEnd w:id="1"/>
      <w:bookmarkEnd w:id="2"/>
      <w:bookmarkEnd w:id="3"/>
      <w:r>
        <w:rPr>
          <w:rFonts w:hint="eastAsia" w:ascii="宋体" w:hAnsi="宋体" w:cs="宋体"/>
          <w:color w:val="000000" w:themeColor="text1"/>
          <w:sz w:val="24"/>
          <w:highlight w:val="none"/>
          <w14:textFill>
            <w14:solidFill>
              <w14:schemeClr w14:val="tx1"/>
            </w14:solidFill>
          </w14:textFill>
        </w:rPr>
        <w:t>供应商响应文件提供资料（不限于提供以下材料）</w:t>
      </w:r>
    </w:p>
    <w:p>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1.营业执照（三证合一）复印件一份；</w:t>
      </w:r>
    </w:p>
    <w:p>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2.法定代表人身份证明书（或法定代表人授权委托书）原件；</w:t>
      </w:r>
    </w:p>
    <w:p>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3.近一年有业绩合同；</w:t>
      </w:r>
    </w:p>
    <w:p>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4.报价文件一份；</w:t>
      </w:r>
    </w:p>
    <w:p>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5.内容响应表一份；</w:t>
      </w:r>
    </w:p>
    <w:p>
      <w:pPr>
        <w:spacing w:line="400" w:lineRule="exact"/>
        <w:ind w:firstLine="480" w:firstLineChars="200"/>
        <w:jc w:val="left"/>
        <w:rPr>
          <w:rFonts w:hint="default"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lang w:val="en-US" w:eastAsia="zh-CN"/>
          <w14:textFill>
            <w14:solidFill>
              <w14:schemeClr w14:val="tx1"/>
            </w14:solidFill>
          </w14:textFill>
        </w:rPr>
        <w:t>技术文件；</w:t>
      </w:r>
    </w:p>
    <w:p>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7.联系人及联系电话；</w:t>
      </w:r>
    </w:p>
    <w:p>
      <w:pPr>
        <w:spacing w:line="400" w:lineRule="exact"/>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8.供应商需要说明的其他文件和说明。</w:t>
      </w:r>
    </w:p>
    <w:p>
      <w:pPr>
        <w:spacing w:line="400" w:lineRule="exact"/>
        <w:ind w:firstLine="480" w:firstLineChars="200"/>
        <w:jc w:val="left"/>
        <w:rPr>
          <w:rFonts w:eastAsia="仿宋"/>
          <w:bCs/>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注：格式自拟，文件必须包含以上1-7内容</w:t>
      </w:r>
    </w:p>
    <w:p>
      <w:pPr>
        <w:snapToGrid w:val="0"/>
        <w:spacing w:before="120" w:beforeLines="50" w:after="50"/>
        <w:jc w:val="center"/>
        <w:rPr>
          <w:rFonts w:eastAsia="仿宋"/>
          <w:b/>
          <w:bCs/>
          <w:color w:val="000000" w:themeColor="text1"/>
          <w:sz w:val="52"/>
          <w:szCs w:val="52"/>
          <w:highlight w:val="none"/>
          <w14:textFill>
            <w14:solidFill>
              <w14:schemeClr w14:val="tx1"/>
            </w14:solidFill>
          </w14:textFill>
        </w:rPr>
      </w:pPr>
    </w:p>
    <w:p>
      <w:pPr>
        <w:snapToGrid w:val="0"/>
        <w:spacing w:before="120" w:beforeLines="50" w:after="50"/>
        <w:jc w:val="center"/>
        <w:rPr>
          <w:rFonts w:eastAsia="仿宋"/>
          <w:b/>
          <w:bCs/>
          <w:color w:val="000000" w:themeColor="text1"/>
          <w:sz w:val="52"/>
          <w:szCs w:val="52"/>
          <w:highlight w:val="none"/>
          <w14:textFill>
            <w14:solidFill>
              <w14:schemeClr w14:val="tx1"/>
            </w14:solidFill>
          </w14:textFill>
        </w:rPr>
      </w:pPr>
    </w:p>
    <w:p>
      <w:pPr>
        <w:snapToGrid w:val="0"/>
        <w:spacing w:before="120" w:beforeLines="50" w:after="50"/>
        <w:jc w:val="center"/>
        <w:rPr>
          <w:rFonts w:eastAsia="仿宋"/>
          <w:b/>
          <w:bCs/>
          <w:color w:val="000000" w:themeColor="text1"/>
          <w:sz w:val="52"/>
          <w:szCs w:val="52"/>
          <w:highlight w:val="none"/>
          <w14:textFill>
            <w14:solidFill>
              <w14:schemeClr w14:val="tx1"/>
            </w14:solidFill>
          </w14:textFill>
        </w:rPr>
      </w:pPr>
      <w:r>
        <w:rPr>
          <w:rFonts w:eastAsia="仿宋"/>
          <w:b/>
          <w:bCs/>
          <w:color w:val="000000" w:themeColor="text1"/>
          <w:sz w:val="52"/>
          <w:szCs w:val="52"/>
          <w:highlight w:val="none"/>
          <w14:textFill>
            <w14:solidFill>
              <w14:schemeClr w14:val="tx1"/>
            </w14:solidFill>
          </w14:textFill>
        </w:rPr>
        <w:t>响应文件</w:t>
      </w:r>
    </w:p>
    <w:p>
      <w:pPr>
        <w:snapToGrid w:val="0"/>
        <w:spacing w:before="120" w:beforeLines="50" w:after="50"/>
        <w:rPr>
          <w:rFonts w:eastAsia="仿宋"/>
          <w:bCs/>
          <w:color w:val="000000" w:themeColor="text1"/>
          <w:sz w:val="24"/>
          <w:szCs w:val="20"/>
          <w:highlight w:val="none"/>
          <w14:textFill>
            <w14:solidFill>
              <w14:schemeClr w14:val="tx1"/>
            </w14:solidFill>
          </w14:textFill>
        </w:rPr>
      </w:pPr>
    </w:p>
    <w:p>
      <w:pPr>
        <w:snapToGrid w:val="0"/>
        <w:spacing w:before="120" w:beforeLines="50" w:after="50"/>
        <w:ind w:firstLine="1100" w:firstLineChars="393"/>
        <w:rPr>
          <w:rFonts w:eastAsia="仿宋"/>
          <w:bCs/>
          <w:color w:val="000000" w:themeColor="text1"/>
          <w:sz w:val="28"/>
          <w:szCs w:val="28"/>
          <w:highlight w:val="none"/>
          <w14:textFill>
            <w14:solidFill>
              <w14:schemeClr w14:val="tx1"/>
            </w14:solidFill>
          </w14:textFill>
        </w:rPr>
      </w:pPr>
      <w:r>
        <w:rPr>
          <w:rFonts w:eastAsia="仿宋"/>
          <w:bCs/>
          <w:color w:val="000000" w:themeColor="text1"/>
          <w:sz w:val="28"/>
          <w:szCs w:val="28"/>
          <w:highlight w:val="none"/>
          <w14:textFill>
            <w14:solidFill>
              <w14:schemeClr w14:val="tx1"/>
            </w14:solidFill>
          </w14:textFill>
        </w:rPr>
        <w:t xml:space="preserve">项目名称： </w:t>
      </w:r>
    </w:p>
    <w:p>
      <w:pPr>
        <w:snapToGrid w:val="0"/>
        <w:spacing w:before="120" w:beforeLines="50" w:after="50"/>
        <w:ind w:firstLine="1100" w:firstLineChars="393"/>
        <w:rPr>
          <w:rFonts w:eastAsia="仿宋"/>
          <w:bCs/>
          <w:color w:val="000000" w:themeColor="text1"/>
          <w:sz w:val="28"/>
          <w:szCs w:val="28"/>
          <w:highlight w:val="none"/>
          <w14:textFill>
            <w14:solidFill>
              <w14:schemeClr w14:val="tx1"/>
            </w14:solidFill>
          </w14:textFill>
        </w:rPr>
      </w:pPr>
      <w:r>
        <w:rPr>
          <w:rFonts w:eastAsia="仿宋"/>
          <w:bCs/>
          <w:color w:val="000000" w:themeColor="text1"/>
          <w:sz w:val="28"/>
          <w:szCs w:val="28"/>
          <w:highlight w:val="none"/>
          <w14:textFill>
            <w14:solidFill>
              <w14:schemeClr w14:val="tx1"/>
            </w14:solidFill>
          </w14:textFill>
        </w:rPr>
        <w:t xml:space="preserve"> </w:t>
      </w:r>
    </w:p>
    <w:p>
      <w:pPr>
        <w:snapToGrid w:val="0"/>
        <w:spacing w:before="120" w:beforeLines="50" w:after="50"/>
        <w:ind w:firstLine="1100" w:firstLineChars="393"/>
        <w:rPr>
          <w:rFonts w:eastAsia="仿宋"/>
          <w:bCs/>
          <w:color w:val="000000" w:themeColor="text1"/>
          <w:sz w:val="28"/>
          <w:szCs w:val="28"/>
          <w:highlight w:val="none"/>
          <w14:textFill>
            <w14:solidFill>
              <w14:schemeClr w14:val="tx1"/>
            </w14:solidFill>
          </w14:textFill>
        </w:rPr>
      </w:pPr>
      <w:r>
        <w:rPr>
          <w:rFonts w:hint="eastAsia" w:eastAsia="仿宋"/>
          <w:bCs/>
          <w:color w:val="000000" w:themeColor="text1"/>
          <w:sz w:val="28"/>
          <w:szCs w:val="28"/>
          <w:highlight w:val="none"/>
          <w:lang w:val="en-US" w:eastAsia="zh-CN"/>
          <w14:textFill>
            <w14:solidFill>
              <w14:schemeClr w14:val="tx1"/>
            </w14:solidFill>
          </w14:textFill>
        </w:rPr>
        <w:t>项目编号：</w:t>
      </w:r>
      <w:r>
        <w:rPr>
          <w:rFonts w:eastAsia="仿宋"/>
          <w:bCs/>
          <w:color w:val="000000" w:themeColor="text1"/>
          <w:sz w:val="28"/>
          <w:szCs w:val="28"/>
          <w:highlight w:val="none"/>
          <w14:textFill>
            <w14:solidFill>
              <w14:schemeClr w14:val="tx1"/>
            </w14:solidFill>
          </w14:textFill>
        </w:rPr>
        <w:t xml:space="preserve">    </w:t>
      </w:r>
    </w:p>
    <w:p>
      <w:pPr>
        <w:pStyle w:val="4"/>
        <w:snapToGrid w:val="0"/>
        <w:spacing w:before="50" w:after="50"/>
        <w:ind w:firstLine="1164" w:firstLineChars="416"/>
        <w:rPr>
          <w:rFonts w:hint="eastAsia" w:eastAsia="仿宋"/>
          <w:bCs/>
          <w:color w:val="000000" w:themeColor="text1"/>
          <w:sz w:val="28"/>
          <w:szCs w:val="28"/>
          <w:highlight w:val="none"/>
          <w14:textFill>
            <w14:solidFill>
              <w14:schemeClr w14:val="tx1"/>
            </w14:solidFill>
          </w14:textFill>
        </w:rPr>
      </w:pPr>
    </w:p>
    <w:p>
      <w:pPr>
        <w:pStyle w:val="4"/>
        <w:snapToGrid w:val="0"/>
        <w:spacing w:before="50" w:after="50"/>
        <w:ind w:firstLine="1164" w:firstLineChars="416"/>
        <w:rPr>
          <w:rFonts w:eastAsia="仿宋"/>
          <w:bCs/>
          <w:color w:val="000000" w:themeColor="text1"/>
          <w:sz w:val="28"/>
          <w:szCs w:val="28"/>
          <w:highlight w:val="none"/>
          <w14:textFill>
            <w14:solidFill>
              <w14:schemeClr w14:val="tx1"/>
            </w14:solidFill>
          </w14:textFill>
        </w:rPr>
      </w:pPr>
      <w:r>
        <w:rPr>
          <w:rFonts w:hint="eastAsia" w:eastAsia="仿宋"/>
          <w:bCs/>
          <w:color w:val="000000" w:themeColor="text1"/>
          <w:sz w:val="28"/>
          <w:szCs w:val="28"/>
          <w:highlight w:val="none"/>
          <w:lang w:val="en-US" w:eastAsia="zh-CN"/>
          <w14:textFill>
            <w14:solidFill>
              <w14:schemeClr w14:val="tx1"/>
            </w14:solidFill>
          </w14:textFill>
        </w:rPr>
        <w:t>投标人</w:t>
      </w:r>
      <w:r>
        <w:rPr>
          <w:rFonts w:eastAsia="仿宋"/>
          <w:bCs/>
          <w:color w:val="000000" w:themeColor="text1"/>
          <w:sz w:val="28"/>
          <w:szCs w:val="28"/>
          <w:highlight w:val="none"/>
          <w14:textFill>
            <w14:solidFill>
              <w14:schemeClr w14:val="tx1"/>
            </w14:solidFill>
          </w14:textFill>
        </w:rPr>
        <w:t>名称：</w:t>
      </w:r>
      <w:r>
        <w:rPr>
          <w:rFonts w:hint="eastAsia" w:eastAsia="仿宋"/>
          <w:bCs/>
          <w:color w:val="000000" w:themeColor="text1"/>
          <w:sz w:val="28"/>
          <w:szCs w:val="28"/>
          <w:highlight w:val="none"/>
          <w:lang w:eastAsia="zh-CN"/>
          <w14:textFill>
            <w14:solidFill>
              <w14:schemeClr w14:val="tx1"/>
            </w14:solidFill>
          </w14:textFill>
        </w:rPr>
        <w:t>（</w:t>
      </w:r>
      <w:r>
        <w:rPr>
          <w:rFonts w:hint="eastAsia" w:eastAsia="仿宋"/>
          <w:bCs/>
          <w:color w:val="000000" w:themeColor="text1"/>
          <w:sz w:val="28"/>
          <w:szCs w:val="28"/>
          <w:highlight w:val="none"/>
          <w:lang w:val="en-US" w:eastAsia="zh-CN"/>
          <w14:textFill>
            <w14:solidFill>
              <w14:schemeClr w14:val="tx1"/>
            </w14:solidFill>
          </w14:textFill>
        </w:rPr>
        <w:t>公章</w:t>
      </w:r>
      <w:r>
        <w:rPr>
          <w:rFonts w:hint="eastAsia" w:eastAsia="仿宋"/>
          <w:bCs/>
          <w:color w:val="000000" w:themeColor="text1"/>
          <w:sz w:val="28"/>
          <w:szCs w:val="28"/>
          <w:highlight w:val="none"/>
          <w:lang w:eastAsia="zh-CN"/>
          <w14:textFill>
            <w14:solidFill>
              <w14:schemeClr w14:val="tx1"/>
            </w14:solidFill>
          </w14:textFill>
        </w:rPr>
        <w:t>）</w:t>
      </w:r>
    </w:p>
    <w:p>
      <w:pPr>
        <w:pStyle w:val="4"/>
        <w:snapToGrid w:val="0"/>
        <w:spacing w:before="50" w:after="50"/>
        <w:ind w:firstLine="1164" w:firstLineChars="416"/>
        <w:rPr>
          <w:rFonts w:eastAsia="仿宋"/>
          <w:bCs/>
          <w:color w:val="000000" w:themeColor="text1"/>
          <w:sz w:val="28"/>
          <w:szCs w:val="28"/>
          <w:highlight w:val="none"/>
          <w14:textFill>
            <w14:solidFill>
              <w14:schemeClr w14:val="tx1"/>
            </w14:solidFill>
          </w14:textFill>
        </w:rPr>
      </w:pPr>
    </w:p>
    <w:p>
      <w:pPr>
        <w:pStyle w:val="4"/>
        <w:snapToGrid w:val="0"/>
        <w:spacing w:before="50" w:after="50"/>
        <w:ind w:firstLine="1164" w:firstLineChars="416"/>
        <w:rPr>
          <w:rFonts w:eastAsia="仿宋"/>
          <w:bCs/>
          <w:color w:val="000000" w:themeColor="text1"/>
          <w:sz w:val="28"/>
          <w:szCs w:val="28"/>
          <w:highlight w:val="none"/>
          <w14:textFill>
            <w14:solidFill>
              <w14:schemeClr w14:val="tx1"/>
            </w14:solidFill>
          </w14:textFill>
        </w:rPr>
      </w:pPr>
      <w:r>
        <w:rPr>
          <w:rFonts w:hint="eastAsia" w:eastAsia="仿宋"/>
          <w:bCs/>
          <w:color w:val="000000" w:themeColor="text1"/>
          <w:sz w:val="28"/>
          <w:szCs w:val="28"/>
          <w:highlight w:val="none"/>
          <w14:textFill>
            <w14:solidFill>
              <w14:schemeClr w14:val="tx1"/>
            </w14:solidFill>
          </w14:textFill>
        </w:rPr>
        <w:t>报价人</w:t>
      </w:r>
      <w:r>
        <w:rPr>
          <w:rFonts w:eastAsia="仿宋"/>
          <w:bCs/>
          <w:color w:val="000000" w:themeColor="text1"/>
          <w:sz w:val="28"/>
          <w:szCs w:val="28"/>
          <w:highlight w:val="none"/>
          <w14:textFill>
            <w14:solidFill>
              <w14:schemeClr w14:val="tx1"/>
            </w14:solidFill>
          </w14:textFill>
        </w:rPr>
        <w:t>地址：</w:t>
      </w:r>
    </w:p>
    <w:p>
      <w:pPr>
        <w:pStyle w:val="4"/>
        <w:snapToGrid w:val="0"/>
        <w:spacing w:before="50" w:after="50"/>
        <w:ind w:firstLine="1164" w:firstLineChars="416"/>
        <w:rPr>
          <w:rFonts w:eastAsia="仿宋"/>
          <w:bCs/>
          <w:color w:val="000000" w:themeColor="text1"/>
          <w:sz w:val="28"/>
          <w:szCs w:val="28"/>
          <w:highlight w:val="none"/>
          <w14:textFill>
            <w14:solidFill>
              <w14:schemeClr w14:val="tx1"/>
            </w14:solidFill>
          </w14:textFill>
        </w:rPr>
      </w:pPr>
    </w:p>
    <w:p>
      <w:pPr>
        <w:pStyle w:val="4"/>
        <w:snapToGrid w:val="0"/>
        <w:spacing w:before="50" w:after="50"/>
        <w:ind w:firstLine="1164" w:firstLineChars="416"/>
        <w:rPr>
          <w:rFonts w:hint="default" w:eastAsia="仿宋"/>
          <w:bCs/>
          <w:color w:val="000000" w:themeColor="text1"/>
          <w:sz w:val="28"/>
          <w:szCs w:val="28"/>
          <w:highlight w:val="none"/>
          <w:lang w:val="en-US" w:eastAsia="zh-CN"/>
          <w14:textFill>
            <w14:solidFill>
              <w14:schemeClr w14:val="tx1"/>
            </w14:solidFill>
          </w14:textFill>
        </w:rPr>
      </w:pPr>
      <w:r>
        <w:rPr>
          <w:rFonts w:hint="eastAsia" w:eastAsia="仿宋"/>
          <w:bCs/>
          <w:color w:val="000000" w:themeColor="text1"/>
          <w:sz w:val="28"/>
          <w:szCs w:val="28"/>
          <w:highlight w:val="none"/>
          <w:lang w:val="en-US" w:eastAsia="zh-CN"/>
          <w14:textFill>
            <w14:solidFill>
              <w14:schemeClr w14:val="tx1"/>
            </w14:solidFill>
          </w14:textFill>
        </w:rPr>
        <w:t>联系人及电话：</w:t>
      </w:r>
    </w:p>
    <w:p>
      <w:pPr>
        <w:pStyle w:val="4"/>
        <w:snapToGrid w:val="0"/>
        <w:spacing w:before="50" w:after="50"/>
        <w:ind w:firstLine="1120" w:firstLineChars="400"/>
        <w:rPr>
          <w:rFonts w:eastAsia="仿宋"/>
          <w:bCs/>
          <w:color w:val="000000" w:themeColor="text1"/>
          <w:sz w:val="28"/>
          <w:szCs w:val="28"/>
          <w:highlight w:val="none"/>
          <w14:textFill>
            <w14:solidFill>
              <w14:schemeClr w14:val="tx1"/>
            </w14:solidFill>
          </w14:textFill>
        </w:rPr>
      </w:pPr>
    </w:p>
    <w:p>
      <w:pPr>
        <w:snapToGrid w:val="0"/>
        <w:spacing w:before="120" w:beforeLines="50" w:after="50"/>
        <w:ind w:firstLine="4760" w:firstLineChars="1700"/>
        <w:rPr>
          <w:rFonts w:eastAsia="仿宋"/>
          <w:bCs/>
          <w:color w:val="000000" w:themeColor="text1"/>
          <w:sz w:val="28"/>
          <w:szCs w:val="28"/>
          <w:highlight w:val="none"/>
          <w14:textFill>
            <w14:solidFill>
              <w14:schemeClr w14:val="tx1"/>
            </w14:solidFill>
          </w14:textFill>
        </w:rPr>
      </w:pPr>
    </w:p>
    <w:p>
      <w:pPr>
        <w:snapToGrid w:val="0"/>
        <w:spacing w:before="120" w:beforeLines="50" w:after="50"/>
        <w:ind w:firstLine="645"/>
        <w:jc w:val="center"/>
        <w:rPr>
          <w:rFonts w:eastAsia="仿宋"/>
          <w:bCs/>
          <w:color w:val="000000" w:themeColor="text1"/>
          <w:sz w:val="28"/>
          <w:szCs w:val="28"/>
          <w:highlight w:val="none"/>
          <w14:textFill>
            <w14:solidFill>
              <w14:schemeClr w14:val="tx1"/>
            </w14:solidFill>
          </w14:textFill>
        </w:rPr>
      </w:pPr>
      <w:r>
        <w:rPr>
          <w:rFonts w:eastAsia="仿宋"/>
          <w:bCs/>
          <w:color w:val="000000" w:themeColor="text1"/>
          <w:sz w:val="28"/>
          <w:szCs w:val="28"/>
          <w:highlight w:val="none"/>
          <w14:textFill>
            <w14:solidFill>
              <w14:schemeClr w14:val="tx1"/>
            </w14:solidFill>
          </w14:textFill>
        </w:rPr>
        <w:t xml:space="preserve">                        年  月  日</w:t>
      </w:r>
    </w:p>
    <w:p>
      <w:pPr>
        <w:snapToGrid w:val="0"/>
        <w:spacing w:before="120" w:beforeLines="50" w:after="50"/>
        <w:ind w:firstLine="645"/>
        <w:rPr>
          <w:rFonts w:eastAsia="仿宋"/>
          <w:bCs/>
          <w:color w:val="000000" w:themeColor="text1"/>
          <w:sz w:val="24"/>
          <w:highlight w:val="none"/>
          <w14:textFill>
            <w14:solidFill>
              <w14:schemeClr w14:val="tx1"/>
            </w14:solidFill>
          </w14:textFill>
        </w:rPr>
      </w:pPr>
    </w:p>
    <w:sectPr>
      <w:footerReference r:id="rId9" w:type="default"/>
      <w:pgSz w:w="11906" w:h="16838"/>
      <w:pgMar w:top="1104" w:right="999" w:bottom="1080" w:left="1247" w:header="794"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wordWrap w:val="0"/>
      <w:spacing w:after="48" w:afterLines="20"/>
      <w:jc w:val="right"/>
      <w:rPr>
        <w:rFonts w:ascii="楷体" w:hAnsi="楷体" w:eastAsia="楷体"/>
        <w:sz w:val="22"/>
        <w:szCs w:val="21"/>
        <w:u w:val="single"/>
      </w:rPr>
    </w:pPr>
  </w:p>
  <w:p>
    <w:pPr>
      <w:rPr>
        <w:rFonts w:ascii="楷体" w:hAnsi="楷体" w:eastAsia="楷体"/>
        <w:sz w:val="20"/>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31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japaneseCounting"/>
      <w:lvlText w:val="第%1章"/>
      <w:lvlJc w:val="left"/>
      <w:pPr>
        <w:ind w:left="1080" w:hanging="1080"/>
      </w:pPr>
      <w:rPr>
        <w:rFonts w:hint="default"/>
      </w:rPr>
    </w:lvl>
    <w:lvl w:ilvl="1" w:tentative="0">
      <w:start w:val="5"/>
      <w:numFmt w:val="japaneseCounting"/>
      <w:lvlText w:val="第%2章"/>
      <w:lvlJc w:val="left"/>
      <w:pPr>
        <w:tabs>
          <w:tab w:val="left" w:pos="1695"/>
        </w:tabs>
        <w:ind w:left="1695" w:hanging="12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japaneseCounting"/>
      <w:lvlText w:val="第%1章"/>
      <w:lvlJc w:val="left"/>
      <w:pPr>
        <w:ind w:left="1080" w:hanging="108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MWUxNzQ1MmU4YWFmOWE0OTNlOGI4YWI0ZGU2ZmEifQ=="/>
  </w:docVars>
  <w:rsids>
    <w:rsidRoot w:val="00AB1BDE"/>
    <w:rsid w:val="0005280F"/>
    <w:rsid w:val="00071FC6"/>
    <w:rsid w:val="002C58F5"/>
    <w:rsid w:val="003B3085"/>
    <w:rsid w:val="00554C33"/>
    <w:rsid w:val="005714C6"/>
    <w:rsid w:val="0070579E"/>
    <w:rsid w:val="00710463"/>
    <w:rsid w:val="007402CA"/>
    <w:rsid w:val="007756C4"/>
    <w:rsid w:val="008B5614"/>
    <w:rsid w:val="008D4EE8"/>
    <w:rsid w:val="00A067C3"/>
    <w:rsid w:val="00AB1BDE"/>
    <w:rsid w:val="00CA7056"/>
    <w:rsid w:val="00EC00DA"/>
    <w:rsid w:val="0136732D"/>
    <w:rsid w:val="014E5DF5"/>
    <w:rsid w:val="025E5706"/>
    <w:rsid w:val="028642E4"/>
    <w:rsid w:val="02BA5D3C"/>
    <w:rsid w:val="02C24BF1"/>
    <w:rsid w:val="031127D5"/>
    <w:rsid w:val="03B31109"/>
    <w:rsid w:val="03C926DB"/>
    <w:rsid w:val="03CE5F43"/>
    <w:rsid w:val="03F963E6"/>
    <w:rsid w:val="042518DB"/>
    <w:rsid w:val="04335DA6"/>
    <w:rsid w:val="0442389F"/>
    <w:rsid w:val="04AD1AFE"/>
    <w:rsid w:val="04E470A0"/>
    <w:rsid w:val="04EC6495"/>
    <w:rsid w:val="056B20A9"/>
    <w:rsid w:val="057E5747"/>
    <w:rsid w:val="05856AD5"/>
    <w:rsid w:val="05BE78F1"/>
    <w:rsid w:val="05D15877"/>
    <w:rsid w:val="05FD48BE"/>
    <w:rsid w:val="06316315"/>
    <w:rsid w:val="06493413"/>
    <w:rsid w:val="064C5DB5"/>
    <w:rsid w:val="064F0A23"/>
    <w:rsid w:val="06913840"/>
    <w:rsid w:val="06C85C87"/>
    <w:rsid w:val="07153E89"/>
    <w:rsid w:val="07322345"/>
    <w:rsid w:val="07593D76"/>
    <w:rsid w:val="078F3A9F"/>
    <w:rsid w:val="082779D0"/>
    <w:rsid w:val="082E55DF"/>
    <w:rsid w:val="085E53BC"/>
    <w:rsid w:val="08966904"/>
    <w:rsid w:val="08E86AEA"/>
    <w:rsid w:val="091268D2"/>
    <w:rsid w:val="092E1232"/>
    <w:rsid w:val="09685118"/>
    <w:rsid w:val="09BF1E8A"/>
    <w:rsid w:val="09F064E7"/>
    <w:rsid w:val="09F12AB2"/>
    <w:rsid w:val="09F77876"/>
    <w:rsid w:val="0A140428"/>
    <w:rsid w:val="0A206DCD"/>
    <w:rsid w:val="0C0D512F"/>
    <w:rsid w:val="0C175FAD"/>
    <w:rsid w:val="0C6133EF"/>
    <w:rsid w:val="0C8A49D1"/>
    <w:rsid w:val="0C931AD8"/>
    <w:rsid w:val="0D2070E4"/>
    <w:rsid w:val="0D21558D"/>
    <w:rsid w:val="0D7F3E0A"/>
    <w:rsid w:val="0D8633EB"/>
    <w:rsid w:val="0DD549EB"/>
    <w:rsid w:val="0E2D3866"/>
    <w:rsid w:val="0EB14497"/>
    <w:rsid w:val="0EC266A4"/>
    <w:rsid w:val="0ED6529C"/>
    <w:rsid w:val="0EFF0C9B"/>
    <w:rsid w:val="0F1531DC"/>
    <w:rsid w:val="0F7A7366"/>
    <w:rsid w:val="0F8C6CB2"/>
    <w:rsid w:val="1001144E"/>
    <w:rsid w:val="105F5486"/>
    <w:rsid w:val="10613C9B"/>
    <w:rsid w:val="10A122E9"/>
    <w:rsid w:val="10BD2719"/>
    <w:rsid w:val="115F4513"/>
    <w:rsid w:val="117B4A09"/>
    <w:rsid w:val="119B4F8B"/>
    <w:rsid w:val="122B4561"/>
    <w:rsid w:val="123E4148"/>
    <w:rsid w:val="12B878BF"/>
    <w:rsid w:val="12CA5B28"/>
    <w:rsid w:val="131548A6"/>
    <w:rsid w:val="13356166"/>
    <w:rsid w:val="13853036"/>
    <w:rsid w:val="13AC347F"/>
    <w:rsid w:val="13AE369B"/>
    <w:rsid w:val="13B00617"/>
    <w:rsid w:val="141C379C"/>
    <w:rsid w:val="142D2812"/>
    <w:rsid w:val="143E23EE"/>
    <w:rsid w:val="144E2FFD"/>
    <w:rsid w:val="14991C55"/>
    <w:rsid w:val="15D05B4B"/>
    <w:rsid w:val="15D075D8"/>
    <w:rsid w:val="16161084"/>
    <w:rsid w:val="164F4421"/>
    <w:rsid w:val="16CE4118"/>
    <w:rsid w:val="16FB690E"/>
    <w:rsid w:val="17563E2E"/>
    <w:rsid w:val="17AA4179"/>
    <w:rsid w:val="17CA0378"/>
    <w:rsid w:val="189F33C8"/>
    <w:rsid w:val="18C43019"/>
    <w:rsid w:val="18DC4807"/>
    <w:rsid w:val="19641FF0"/>
    <w:rsid w:val="196A07DA"/>
    <w:rsid w:val="19EB461F"/>
    <w:rsid w:val="1AA80041"/>
    <w:rsid w:val="1ABC48F0"/>
    <w:rsid w:val="1B18764C"/>
    <w:rsid w:val="1B391A9C"/>
    <w:rsid w:val="1BB83309"/>
    <w:rsid w:val="1CBC0BD7"/>
    <w:rsid w:val="1CCC06EE"/>
    <w:rsid w:val="1CE52895"/>
    <w:rsid w:val="1CEC4160"/>
    <w:rsid w:val="1CF33ECD"/>
    <w:rsid w:val="1D28001A"/>
    <w:rsid w:val="1D434E54"/>
    <w:rsid w:val="1D7B2840"/>
    <w:rsid w:val="1D85546D"/>
    <w:rsid w:val="1DEC7C46"/>
    <w:rsid w:val="1F8000AA"/>
    <w:rsid w:val="1FD40539"/>
    <w:rsid w:val="205A5DA4"/>
    <w:rsid w:val="20833F56"/>
    <w:rsid w:val="20EA55E7"/>
    <w:rsid w:val="20EE54BB"/>
    <w:rsid w:val="212343F7"/>
    <w:rsid w:val="21A47E8B"/>
    <w:rsid w:val="21F032CF"/>
    <w:rsid w:val="21F760FC"/>
    <w:rsid w:val="225F3B4C"/>
    <w:rsid w:val="226E6690"/>
    <w:rsid w:val="229E0197"/>
    <w:rsid w:val="23517B9F"/>
    <w:rsid w:val="235A3260"/>
    <w:rsid w:val="23971A56"/>
    <w:rsid w:val="23CE2F9E"/>
    <w:rsid w:val="23E92B18"/>
    <w:rsid w:val="24AB6318"/>
    <w:rsid w:val="24CC1ED5"/>
    <w:rsid w:val="24D10F97"/>
    <w:rsid w:val="24D208D2"/>
    <w:rsid w:val="24D34D10"/>
    <w:rsid w:val="24EF141E"/>
    <w:rsid w:val="250514BA"/>
    <w:rsid w:val="25331C52"/>
    <w:rsid w:val="25457290"/>
    <w:rsid w:val="257F7006"/>
    <w:rsid w:val="25867F11"/>
    <w:rsid w:val="25926675"/>
    <w:rsid w:val="25FC13F4"/>
    <w:rsid w:val="261E020C"/>
    <w:rsid w:val="26424C2F"/>
    <w:rsid w:val="264C11F7"/>
    <w:rsid w:val="26F73072"/>
    <w:rsid w:val="27514612"/>
    <w:rsid w:val="27553154"/>
    <w:rsid w:val="27572E3D"/>
    <w:rsid w:val="278052E7"/>
    <w:rsid w:val="27995E13"/>
    <w:rsid w:val="27AE55C0"/>
    <w:rsid w:val="280506A4"/>
    <w:rsid w:val="28CD1A76"/>
    <w:rsid w:val="29695C42"/>
    <w:rsid w:val="297B6785"/>
    <w:rsid w:val="2987256D"/>
    <w:rsid w:val="29932CBF"/>
    <w:rsid w:val="2AA50EFC"/>
    <w:rsid w:val="2B2C33CC"/>
    <w:rsid w:val="2B606BD1"/>
    <w:rsid w:val="2B6568DD"/>
    <w:rsid w:val="2B8E1990"/>
    <w:rsid w:val="2BC1139E"/>
    <w:rsid w:val="2BE33277"/>
    <w:rsid w:val="2CB35B02"/>
    <w:rsid w:val="2D7050C6"/>
    <w:rsid w:val="2D7D7F0E"/>
    <w:rsid w:val="2DFC0E9C"/>
    <w:rsid w:val="2E316A79"/>
    <w:rsid w:val="2EFA10EB"/>
    <w:rsid w:val="2EFC30B5"/>
    <w:rsid w:val="2F391C13"/>
    <w:rsid w:val="2F633134"/>
    <w:rsid w:val="2F837332"/>
    <w:rsid w:val="2F897353"/>
    <w:rsid w:val="2FAC314C"/>
    <w:rsid w:val="2FD162F0"/>
    <w:rsid w:val="30C506DF"/>
    <w:rsid w:val="30D07FA5"/>
    <w:rsid w:val="31197F4E"/>
    <w:rsid w:val="3126266B"/>
    <w:rsid w:val="313C59EB"/>
    <w:rsid w:val="31462D0D"/>
    <w:rsid w:val="318022F1"/>
    <w:rsid w:val="31903F88"/>
    <w:rsid w:val="31D9592F"/>
    <w:rsid w:val="31F44517"/>
    <w:rsid w:val="31F64DA9"/>
    <w:rsid w:val="31F75DB5"/>
    <w:rsid w:val="320D7387"/>
    <w:rsid w:val="32180206"/>
    <w:rsid w:val="32BF0681"/>
    <w:rsid w:val="32FB5998"/>
    <w:rsid w:val="34744645"/>
    <w:rsid w:val="35700359"/>
    <w:rsid w:val="35831E3A"/>
    <w:rsid w:val="359C2EFC"/>
    <w:rsid w:val="35A40002"/>
    <w:rsid w:val="36394B26"/>
    <w:rsid w:val="36932551"/>
    <w:rsid w:val="36EC75AB"/>
    <w:rsid w:val="37172680"/>
    <w:rsid w:val="37623CD1"/>
    <w:rsid w:val="376C4D88"/>
    <w:rsid w:val="37941532"/>
    <w:rsid w:val="38544F66"/>
    <w:rsid w:val="38670524"/>
    <w:rsid w:val="38887767"/>
    <w:rsid w:val="3891208E"/>
    <w:rsid w:val="38A10829"/>
    <w:rsid w:val="38B067D2"/>
    <w:rsid w:val="3A266722"/>
    <w:rsid w:val="3A540249"/>
    <w:rsid w:val="3A84050A"/>
    <w:rsid w:val="3ACA22B9"/>
    <w:rsid w:val="3AE74C19"/>
    <w:rsid w:val="3AF13CEA"/>
    <w:rsid w:val="3B7471A3"/>
    <w:rsid w:val="3B754A61"/>
    <w:rsid w:val="3B8A37F6"/>
    <w:rsid w:val="3BA00F37"/>
    <w:rsid w:val="3BA22C44"/>
    <w:rsid w:val="3BE455FD"/>
    <w:rsid w:val="3BE63123"/>
    <w:rsid w:val="3C485B8B"/>
    <w:rsid w:val="3C832CD1"/>
    <w:rsid w:val="3CAD3D74"/>
    <w:rsid w:val="3CBE11F9"/>
    <w:rsid w:val="3CCA65A0"/>
    <w:rsid w:val="3D034DD0"/>
    <w:rsid w:val="3D4520CB"/>
    <w:rsid w:val="3D680A02"/>
    <w:rsid w:val="3D8C4D41"/>
    <w:rsid w:val="3DBC05DF"/>
    <w:rsid w:val="3DCC6348"/>
    <w:rsid w:val="3DED69EA"/>
    <w:rsid w:val="3E2E636E"/>
    <w:rsid w:val="3E35213F"/>
    <w:rsid w:val="3E636CAD"/>
    <w:rsid w:val="3E815385"/>
    <w:rsid w:val="3E8F1850"/>
    <w:rsid w:val="3EB47508"/>
    <w:rsid w:val="3EEA4CD8"/>
    <w:rsid w:val="3EFB4447"/>
    <w:rsid w:val="3F37269C"/>
    <w:rsid w:val="3F7D3D9E"/>
    <w:rsid w:val="3F842F32"/>
    <w:rsid w:val="3F9410E8"/>
    <w:rsid w:val="3F9D1D4A"/>
    <w:rsid w:val="40994F31"/>
    <w:rsid w:val="40C1736C"/>
    <w:rsid w:val="40E35E83"/>
    <w:rsid w:val="413A5C3B"/>
    <w:rsid w:val="4154112E"/>
    <w:rsid w:val="41592D15"/>
    <w:rsid w:val="417364A2"/>
    <w:rsid w:val="41E77BF5"/>
    <w:rsid w:val="42933225"/>
    <w:rsid w:val="430D61CF"/>
    <w:rsid w:val="436B73EC"/>
    <w:rsid w:val="43DE6D89"/>
    <w:rsid w:val="43FA212F"/>
    <w:rsid w:val="442672E1"/>
    <w:rsid w:val="4496717C"/>
    <w:rsid w:val="44D34460"/>
    <w:rsid w:val="4564475B"/>
    <w:rsid w:val="457E43CC"/>
    <w:rsid w:val="45DD5D17"/>
    <w:rsid w:val="4638096D"/>
    <w:rsid w:val="463F61A4"/>
    <w:rsid w:val="464B5345"/>
    <w:rsid w:val="46BB040B"/>
    <w:rsid w:val="46C35D27"/>
    <w:rsid w:val="46D71AE1"/>
    <w:rsid w:val="4707219F"/>
    <w:rsid w:val="47395E3D"/>
    <w:rsid w:val="47AB5220"/>
    <w:rsid w:val="47AF4D11"/>
    <w:rsid w:val="47EA2A16"/>
    <w:rsid w:val="4800012E"/>
    <w:rsid w:val="48E21116"/>
    <w:rsid w:val="49221512"/>
    <w:rsid w:val="49224E56"/>
    <w:rsid w:val="493C4382"/>
    <w:rsid w:val="499E503D"/>
    <w:rsid w:val="49EF7646"/>
    <w:rsid w:val="4A420E14"/>
    <w:rsid w:val="4A435BE4"/>
    <w:rsid w:val="4A4C0E65"/>
    <w:rsid w:val="4A7A3BB1"/>
    <w:rsid w:val="4B133808"/>
    <w:rsid w:val="4B9F32EE"/>
    <w:rsid w:val="4BA40904"/>
    <w:rsid w:val="4BCA036B"/>
    <w:rsid w:val="4C446180"/>
    <w:rsid w:val="4C5E733D"/>
    <w:rsid w:val="4C6836E0"/>
    <w:rsid w:val="4CB61830"/>
    <w:rsid w:val="4D3A32CE"/>
    <w:rsid w:val="4D4C4DB0"/>
    <w:rsid w:val="4E1C4782"/>
    <w:rsid w:val="4E1E674C"/>
    <w:rsid w:val="4E252B4D"/>
    <w:rsid w:val="4E9B1B4B"/>
    <w:rsid w:val="4EDD11DF"/>
    <w:rsid w:val="4F073684"/>
    <w:rsid w:val="4F502B8D"/>
    <w:rsid w:val="4F683EEF"/>
    <w:rsid w:val="4F741B8E"/>
    <w:rsid w:val="4FA222A9"/>
    <w:rsid w:val="4FB355BA"/>
    <w:rsid w:val="4FB37368"/>
    <w:rsid w:val="504E1A5E"/>
    <w:rsid w:val="505043D5"/>
    <w:rsid w:val="507408A5"/>
    <w:rsid w:val="50AE3712"/>
    <w:rsid w:val="50BC10E3"/>
    <w:rsid w:val="51024103"/>
    <w:rsid w:val="51134562"/>
    <w:rsid w:val="511E6A63"/>
    <w:rsid w:val="51493AE0"/>
    <w:rsid w:val="519B6306"/>
    <w:rsid w:val="51B51175"/>
    <w:rsid w:val="51CB46D7"/>
    <w:rsid w:val="51DA5080"/>
    <w:rsid w:val="51E1416A"/>
    <w:rsid w:val="52306A4E"/>
    <w:rsid w:val="5261672F"/>
    <w:rsid w:val="52946FDD"/>
    <w:rsid w:val="52B96A43"/>
    <w:rsid w:val="52BA6E3D"/>
    <w:rsid w:val="52C06024"/>
    <w:rsid w:val="52FB012C"/>
    <w:rsid w:val="53915C12"/>
    <w:rsid w:val="53F71F19"/>
    <w:rsid w:val="54091C4C"/>
    <w:rsid w:val="54576514"/>
    <w:rsid w:val="54B25E40"/>
    <w:rsid w:val="55403CC4"/>
    <w:rsid w:val="555D3FFE"/>
    <w:rsid w:val="55782BE6"/>
    <w:rsid w:val="55E24503"/>
    <w:rsid w:val="561A05B4"/>
    <w:rsid w:val="56494582"/>
    <w:rsid w:val="564E08D4"/>
    <w:rsid w:val="565C542A"/>
    <w:rsid w:val="567F1D52"/>
    <w:rsid w:val="569F0646"/>
    <w:rsid w:val="56B536AE"/>
    <w:rsid w:val="56B934B6"/>
    <w:rsid w:val="57DD4F82"/>
    <w:rsid w:val="587B479B"/>
    <w:rsid w:val="58E546CE"/>
    <w:rsid w:val="592B61C1"/>
    <w:rsid w:val="5934151A"/>
    <w:rsid w:val="598C3104"/>
    <w:rsid w:val="59BD32BD"/>
    <w:rsid w:val="59E56370"/>
    <w:rsid w:val="5A296BA4"/>
    <w:rsid w:val="5A313817"/>
    <w:rsid w:val="5A7668FF"/>
    <w:rsid w:val="5AA12BDF"/>
    <w:rsid w:val="5AE1122D"/>
    <w:rsid w:val="5AE305F3"/>
    <w:rsid w:val="5AEE3BE5"/>
    <w:rsid w:val="5AF820D3"/>
    <w:rsid w:val="5B4A669B"/>
    <w:rsid w:val="5B4B66A7"/>
    <w:rsid w:val="5B5E0B79"/>
    <w:rsid w:val="5BF1724E"/>
    <w:rsid w:val="5C073BD2"/>
    <w:rsid w:val="5C2E04A2"/>
    <w:rsid w:val="5C734107"/>
    <w:rsid w:val="5C82434A"/>
    <w:rsid w:val="5CA00C74"/>
    <w:rsid w:val="5D0D455B"/>
    <w:rsid w:val="5D3D30B2"/>
    <w:rsid w:val="5D5B728C"/>
    <w:rsid w:val="5D681792"/>
    <w:rsid w:val="5DC11D63"/>
    <w:rsid w:val="5E9F5661"/>
    <w:rsid w:val="5EA92062"/>
    <w:rsid w:val="5EE33562"/>
    <w:rsid w:val="5FE55EC1"/>
    <w:rsid w:val="601E303D"/>
    <w:rsid w:val="603B4F3C"/>
    <w:rsid w:val="60581DA0"/>
    <w:rsid w:val="606A5821"/>
    <w:rsid w:val="6072373D"/>
    <w:rsid w:val="61625772"/>
    <w:rsid w:val="62065A49"/>
    <w:rsid w:val="62085870"/>
    <w:rsid w:val="62135DC5"/>
    <w:rsid w:val="621A5814"/>
    <w:rsid w:val="621E2D67"/>
    <w:rsid w:val="622D318F"/>
    <w:rsid w:val="624D53FA"/>
    <w:rsid w:val="62C70D09"/>
    <w:rsid w:val="63E70923"/>
    <w:rsid w:val="63E8695C"/>
    <w:rsid w:val="63E92F01"/>
    <w:rsid w:val="6406462A"/>
    <w:rsid w:val="641C5084"/>
    <w:rsid w:val="64306D81"/>
    <w:rsid w:val="64502F80"/>
    <w:rsid w:val="6477675E"/>
    <w:rsid w:val="6480793D"/>
    <w:rsid w:val="648739B1"/>
    <w:rsid w:val="64BB489D"/>
    <w:rsid w:val="65CC6636"/>
    <w:rsid w:val="66061B92"/>
    <w:rsid w:val="664B39FF"/>
    <w:rsid w:val="669453A6"/>
    <w:rsid w:val="67D5211A"/>
    <w:rsid w:val="68071BA7"/>
    <w:rsid w:val="68227E19"/>
    <w:rsid w:val="68F56360"/>
    <w:rsid w:val="69280E4A"/>
    <w:rsid w:val="695B03FD"/>
    <w:rsid w:val="69627373"/>
    <w:rsid w:val="697D0373"/>
    <w:rsid w:val="69A43B52"/>
    <w:rsid w:val="69A91168"/>
    <w:rsid w:val="69C064B2"/>
    <w:rsid w:val="6A413E64"/>
    <w:rsid w:val="6A535578"/>
    <w:rsid w:val="6A5B1BF8"/>
    <w:rsid w:val="6A722E5C"/>
    <w:rsid w:val="6BA717F9"/>
    <w:rsid w:val="6C07239D"/>
    <w:rsid w:val="6C604227"/>
    <w:rsid w:val="6C762684"/>
    <w:rsid w:val="6C9102FF"/>
    <w:rsid w:val="6C9140BB"/>
    <w:rsid w:val="6D013069"/>
    <w:rsid w:val="6E762673"/>
    <w:rsid w:val="6E7A1325"/>
    <w:rsid w:val="6EDC3D8E"/>
    <w:rsid w:val="6EF47329"/>
    <w:rsid w:val="6F084B83"/>
    <w:rsid w:val="6F1E6154"/>
    <w:rsid w:val="6F315D49"/>
    <w:rsid w:val="6F415A91"/>
    <w:rsid w:val="6F655B31"/>
    <w:rsid w:val="6F6A0833"/>
    <w:rsid w:val="6F863CF9"/>
    <w:rsid w:val="6FB77DC3"/>
    <w:rsid w:val="700417EE"/>
    <w:rsid w:val="70626515"/>
    <w:rsid w:val="70D70CB1"/>
    <w:rsid w:val="70F10A19"/>
    <w:rsid w:val="711B3F16"/>
    <w:rsid w:val="712A1FAD"/>
    <w:rsid w:val="71312C91"/>
    <w:rsid w:val="713526CC"/>
    <w:rsid w:val="71415D47"/>
    <w:rsid w:val="718B3849"/>
    <w:rsid w:val="7196420C"/>
    <w:rsid w:val="71CA5FB2"/>
    <w:rsid w:val="71CC00E9"/>
    <w:rsid w:val="71EE2817"/>
    <w:rsid w:val="72E70F53"/>
    <w:rsid w:val="72F773E8"/>
    <w:rsid w:val="73137F9A"/>
    <w:rsid w:val="734168B5"/>
    <w:rsid w:val="738F7621"/>
    <w:rsid w:val="73A40BF2"/>
    <w:rsid w:val="746C1710"/>
    <w:rsid w:val="747A4391"/>
    <w:rsid w:val="74972AE5"/>
    <w:rsid w:val="74B719EB"/>
    <w:rsid w:val="74E90FB2"/>
    <w:rsid w:val="75243D99"/>
    <w:rsid w:val="7592164A"/>
    <w:rsid w:val="75ED5866"/>
    <w:rsid w:val="761A4999"/>
    <w:rsid w:val="767E1BCE"/>
    <w:rsid w:val="76A74C81"/>
    <w:rsid w:val="76B20506"/>
    <w:rsid w:val="76DF6FFA"/>
    <w:rsid w:val="7758241F"/>
    <w:rsid w:val="77A60447"/>
    <w:rsid w:val="7856131C"/>
    <w:rsid w:val="792F71B0"/>
    <w:rsid w:val="794D6496"/>
    <w:rsid w:val="7956298E"/>
    <w:rsid w:val="79AB4A88"/>
    <w:rsid w:val="79D761D7"/>
    <w:rsid w:val="79FE4125"/>
    <w:rsid w:val="7A793FB8"/>
    <w:rsid w:val="7A807CC3"/>
    <w:rsid w:val="7AAB339E"/>
    <w:rsid w:val="7B430CF1"/>
    <w:rsid w:val="7B7535A0"/>
    <w:rsid w:val="7C33189E"/>
    <w:rsid w:val="7C372603"/>
    <w:rsid w:val="7C5C02BC"/>
    <w:rsid w:val="7CA13075"/>
    <w:rsid w:val="7D344D95"/>
    <w:rsid w:val="7DAF266D"/>
    <w:rsid w:val="7DE3422D"/>
    <w:rsid w:val="7E1626EC"/>
    <w:rsid w:val="7E372D8F"/>
    <w:rsid w:val="7EB54AA4"/>
    <w:rsid w:val="7EC76398"/>
    <w:rsid w:val="7ED77E14"/>
    <w:rsid w:val="7EDE145C"/>
    <w:rsid w:val="7EE66F68"/>
    <w:rsid w:val="7F054BD0"/>
    <w:rsid w:val="7FB87EFF"/>
    <w:rsid w:val="7FF4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kern w:val="0"/>
      <w:sz w:val="18"/>
      <w:szCs w:val="18"/>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3"/>
    <w:basedOn w:val="1"/>
    <w:qFormat/>
    <w:uiPriority w:val="99"/>
    <w:pPr>
      <w:spacing w:after="120"/>
    </w:pPr>
    <w:rPr>
      <w:sz w:val="16"/>
      <w:szCs w:val="16"/>
    </w:rPr>
  </w:style>
  <w:style w:type="paragraph" w:styleId="7">
    <w:name w:val="Body Text"/>
    <w:basedOn w:val="1"/>
    <w:next w:val="8"/>
    <w:qFormat/>
    <w:uiPriority w:val="0"/>
    <w:pPr>
      <w:jc w:val="center"/>
    </w:pPr>
  </w:style>
  <w:style w:type="paragraph" w:styleId="8">
    <w:name w:val="Title"/>
    <w:basedOn w:val="1"/>
    <w:next w:val="1"/>
    <w:qFormat/>
    <w:uiPriority w:val="0"/>
    <w:pPr>
      <w:spacing w:line="590" w:lineRule="exact"/>
      <w:jc w:val="center"/>
      <w:outlineLvl w:val="0"/>
    </w:pPr>
    <w:rPr>
      <w:rFonts w:ascii="Cambria" w:hAnsi="Cambria" w:eastAsia="方正黑体_GBK"/>
      <w:sz w:val="32"/>
      <w:szCs w:val="32"/>
    </w:rPr>
  </w:style>
  <w:style w:type="paragraph" w:styleId="9">
    <w:name w:val="Body Text Indent"/>
    <w:basedOn w:val="1"/>
    <w:qFormat/>
    <w:uiPriority w:val="0"/>
    <w:pPr>
      <w:ind w:firstLine="830" w:firstLineChars="352"/>
    </w:pPr>
    <w:rPr>
      <w:rFonts w:ascii="仿宋_GB2312" w:eastAsia="仿宋_GB2312"/>
      <w:kern w:val="0"/>
      <w:sz w:val="32"/>
      <w:szCs w:val="20"/>
    </w:rPr>
  </w:style>
  <w:style w:type="paragraph" w:styleId="10">
    <w:name w:val="Plain Text"/>
    <w:basedOn w:val="1"/>
    <w:next w:val="3"/>
    <w:qFormat/>
    <w:uiPriority w:val="0"/>
    <w:rPr>
      <w:rFonts w:ascii="宋体" w:hAnsi="Courier New"/>
      <w:kern w:val="0"/>
      <w:sz w:val="20"/>
      <w:szCs w:val="21"/>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List"/>
    <w:basedOn w:val="1"/>
    <w:qFormat/>
    <w:uiPriority w:val="0"/>
    <w:pPr>
      <w:ind w:left="200" w:hanging="200" w:hangingChars="200"/>
    </w:pPr>
    <w:rPr>
      <w:sz w:val="28"/>
    </w:rPr>
  </w:style>
  <w:style w:type="paragraph" w:styleId="13">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14">
    <w:name w:val="Body Text First Indent 2"/>
    <w:basedOn w:val="9"/>
    <w:qFormat/>
    <w:uiPriority w:val="0"/>
    <w:pPr>
      <w:ind w:firstLine="420" w:firstLineChars="200"/>
    </w:pPr>
  </w:style>
  <w:style w:type="character" w:styleId="17">
    <w:name w:val="Strong"/>
    <w:basedOn w:val="16"/>
    <w:qFormat/>
    <w:uiPriority w:val="0"/>
    <w:rPr>
      <w:b/>
    </w:rPr>
  </w:style>
  <w:style w:type="character" w:styleId="18">
    <w:name w:val="page number"/>
    <w:qFormat/>
    <w:uiPriority w:val="0"/>
  </w:style>
  <w:style w:type="character" w:styleId="19">
    <w:name w:val="annotation reference"/>
    <w:qFormat/>
    <w:uiPriority w:val="0"/>
    <w:rPr>
      <w:sz w:val="21"/>
      <w:szCs w:val="21"/>
    </w:rPr>
  </w:style>
  <w:style w:type="paragraph" w:customStyle="1" w:styleId="20">
    <w:name w:val="表格文字"/>
    <w:basedOn w:val="1"/>
    <w:qFormat/>
    <w:uiPriority w:val="0"/>
    <w:pPr>
      <w:spacing w:before="25" w:after="25"/>
      <w:jc w:val="left"/>
    </w:pPr>
    <w:rPr>
      <w:bCs/>
      <w:spacing w:val="10"/>
      <w:kern w:val="0"/>
      <w:sz w:val="24"/>
    </w:rPr>
  </w:style>
  <w:style w:type="paragraph" w:customStyle="1" w:styleId="21">
    <w:name w:val="_Style 1"/>
    <w:basedOn w:val="1"/>
    <w:qFormat/>
    <w:uiPriority w:val="34"/>
    <w:pPr>
      <w:spacing w:line="560" w:lineRule="exact"/>
      <w:ind w:firstLine="420" w:firstLineChars="200"/>
    </w:pPr>
    <w:rPr>
      <w:szCs w:val="21"/>
    </w:rPr>
  </w:style>
  <w:style w:type="character" w:customStyle="1" w:styleId="22">
    <w:name w:val="font11"/>
    <w:qFormat/>
    <w:uiPriority w:val="0"/>
    <w:rPr>
      <w:rFonts w:hint="eastAsia" w:ascii="宋体" w:hAnsi="宋体" w:eastAsia="宋体" w:cs="宋体"/>
      <w:color w:val="000000"/>
      <w:sz w:val="20"/>
      <w:szCs w:val="20"/>
      <w:u w:val="none"/>
    </w:rPr>
  </w:style>
  <w:style w:type="paragraph" w:customStyle="1" w:styleId="23">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13833</Words>
  <Characters>14457</Characters>
  <Lines>112</Lines>
  <Paragraphs>31</Paragraphs>
  <TotalTime>57</TotalTime>
  <ScaleCrop>false</ScaleCrop>
  <LinksUpToDate>false</LinksUpToDate>
  <CharactersWithSpaces>15872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2022-08-29T08:52:00Z</dcterms:created>
  <dc:creator>LT</dc:creator>
  <cp:lastModifiedBy>栢涛</cp:lastModifiedBy>
  <cp:lastPrinted>2023-10-12T07:48:00Z</cp:lastPrinted>
  <dcterms:modified xsi:type="dcterms:W3CDTF">2023-10-13T07:06:31Z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88144EAF0B934441A101F9C5C047C4DA</vt:lpwstr>
  </property>
</Properties>
</file>