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07E61">
      <w:pPr>
        <w:keepNext w:val="0"/>
        <w:keepLines w:val="0"/>
        <w:pageBreakBefore w:val="0"/>
        <w:widowControl/>
        <w:shd w:val="clear" w:color="auto" w:fill="FFFFFF"/>
        <w:kinsoku/>
        <w:wordWrap/>
        <w:overflowPunct/>
        <w:topLinePunct w:val="0"/>
        <w:autoSpaceDE/>
        <w:autoSpaceDN/>
        <w:bidi w:val="0"/>
        <w:adjustRightInd/>
        <w:snapToGrid/>
        <w:spacing w:line="600" w:lineRule="exact"/>
        <w:ind w:left="0" w:leftChars="0" w:right="0" w:rightChars="0"/>
        <w:jc w:val="center"/>
        <w:textAlignment w:val="auto"/>
        <w:outlineLvl w:val="0"/>
        <w:rPr>
          <w:rFonts w:hint="eastAsia" w:ascii="方正小标宋简体" w:hAnsi="方正小标宋_GBK" w:eastAsia="方正小标宋简体" w:cs="方正小标宋_GBK"/>
          <w:color w:val="000000"/>
          <w:kern w:val="36"/>
          <w:sz w:val="44"/>
          <w:szCs w:val="32"/>
          <w:lang w:val="en-US" w:eastAsia="zh-CN"/>
        </w:rPr>
      </w:pPr>
      <w:r>
        <w:rPr>
          <w:rFonts w:hint="eastAsia" w:ascii="方正小标宋简体" w:hAnsi="方正小标宋简体" w:eastAsia="方正小标宋简体" w:cs="方正小标宋简体"/>
          <w:color w:val="000000"/>
          <w:kern w:val="36"/>
          <w:sz w:val="44"/>
          <w:szCs w:val="32"/>
          <w:lang w:val="en-US" w:eastAsia="zh-CN"/>
        </w:rPr>
        <w:t>柳北区</w:t>
      </w:r>
      <w:r>
        <w:rPr>
          <w:rFonts w:hint="eastAsia" w:ascii="方正小标宋简体" w:hAnsi="方正小标宋简体" w:eastAsia="方正小标宋简体" w:cs="方正小标宋简体"/>
          <w:color w:val="000000"/>
          <w:kern w:val="36"/>
          <w:sz w:val="44"/>
          <w:szCs w:val="32"/>
          <w:lang w:eastAsia="zh-CN"/>
        </w:rPr>
        <w:t>20</w:t>
      </w:r>
      <w:r>
        <w:rPr>
          <w:rFonts w:hint="eastAsia" w:ascii="方正小标宋简体" w:hAnsi="方正小标宋简体" w:eastAsia="方正小标宋简体" w:cs="方正小标宋简体"/>
          <w:color w:val="000000"/>
          <w:kern w:val="36"/>
          <w:sz w:val="44"/>
          <w:szCs w:val="32"/>
          <w:lang w:val="en-US" w:eastAsia="zh-CN"/>
        </w:rPr>
        <w:t>24</w:t>
      </w:r>
      <w:r>
        <w:rPr>
          <w:rFonts w:hint="eastAsia" w:ascii="方正小标宋简体" w:hAnsi="方正小标宋简体" w:eastAsia="方正小标宋简体" w:cs="方正小标宋简体"/>
          <w:color w:val="000000"/>
          <w:kern w:val="36"/>
          <w:sz w:val="44"/>
          <w:szCs w:val="32"/>
        </w:rPr>
        <w:t>年法治政府建设</w:t>
      </w:r>
      <w:r>
        <w:rPr>
          <w:rFonts w:hint="eastAsia" w:ascii="方正小标宋简体" w:hAnsi="方正小标宋简体" w:eastAsia="方正小标宋简体" w:cs="方正小标宋简体"/>
          <w:color w:val="000000"/>
          <w:kern w:val="36"/>
          <w:sz w:val="44"/>
          <w:szCs w:val="32"/>
          <w:lang w:eastAsia="zh-CN"/>
        </w:rPr>
        <w:t>年度</w:t>
      </w:r>
      <w:r>
        <w:rPr>
          <w:rFonts w:hint="eastAsia" w:ascii="方正小标宋简体" w:hAnsi="方正小标宋简体" w:eastAsia="方正小标宋简体" w:cs="方正小标宋简体"/>
          <w:color w:val="000000"/>
          <w:kern w:val="36"/>
          <w:sz w:val="44"/>
          <w:szCs w:val="32"/>
        </w:rPr>
        <w:t>报告</w:t>
      </w:r>
    </w:p>
    <w:p w14:paraId="6C9C7F7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_GB2312" w:hAnsi="仿宋_GB2312" w:eastAsia="仿宋_GB2312" w:cs="仿宋_GB2312"/>
          <w:sz w:val="32"/>
          <w:szCs w:val="32"/>
          <w:lang w:val="en-US" w:eastAsia="zh-CN"/>
        </w:rPr>
      </w:pPr>
    </w:p>
    <w:p w14:paraId="7D58CA6B">
      <w:pPr>
        <w:pStyle w:val="4"/>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黑体" w:hAnsi="黑体" w:eastAsia="黑体" w:cs="黑体"/>
          <w:bCs/>
          <w:color w:val="000000"/>
          <w:sz w:val="32"/>
          <w:lang w:val="en-US" w:eastAsia="zh-CN"/>
        </w:rPr>
      </w:pPr>
      <w:r>
        <w:rPr>
          <w:rFonts w:hint="eastAsia" w:ascii="仿宋_GB2312" w:hAnsi="仿宋_GB2312" w:eastAsia="仿宋_GB2312" w:cs="仿宋_GB2312"/>
          <w:spacing w:val="0"/>
          <w:kern w:val="2"/>
          <w:sz w:val="32"/>
          <w:szCs w:val="32"/>
          <w:lang w:val="en-US" w:eastAsia="zh-CN" w:bidi="ar-SA"/>
        </w:rPr>
        <w:t>2024</w:t>
      </w:r>
      <w:r>
        <w:rPr>
          <w:rFonts w:hint="eastAsia" w:ascii="Times New Roman" w:hAnsi="Times New Roman" w:eastAsia="仿宋_GB2312" w:cs="Times New Roman"/>
          <w:kern w:val="44"/>
          <w:sz w:val="32"/>
          <w:szCs w:val="32"/>
          <w:lang w:val="en-US" w:eastAsia="zh-CN" w:bidi="ar-SA"/>
        </w:rPr>
        <w:t>年，</w:t>
      </w:r>
      <w:r>
        <w:rPr>
          <w:rFonts w:hint="eastAsia" w:ascii="Times New Roman" w:hAnsi="Times New Roman" w:eastAsia="仿宋_GB2312" w:cs="Times New Roman"/>
          <w:bCs/>
          <w:spacing w:val="0"/>
          <w:kern w:val="2"/>
          <w:sz w:val="32"/>
          <w:szCs w:val="44"/>
          <w:lang w:val="en-US" w:eastAsia="zh-CN" w:bidi="zh-CN"/>
        </w:rPr>
        <w:t>柳北区坚持以习近平新时代中国特色社会主义思想为指引，深入学习贯彻党的二十大和二十届二中、三中全会精神，全面落实中央、自治区、柳州市重大决策部署，扎实推进依法行政，加快建设法治政府，全面推动政府各项工作纳入法治化轨道。</w:t>
      </w:r>
      <w:r>
        <w:rPr>
          <w:rFonts w:hint="eastAsia" w:ascii="Times New Roman" w:hAnsi="Times New Roman" w:eastAsia="仿宋_GB2312" w:cs="Times New Roman"/>
          <w:kern w:val="44"/>
          <w:sz w:val="32"/>
          <w:szCs w:val="32"/>
          <w:lang w:val="en-US" w:eastAsia="zh-CN" w:bidi="ar-SA"/>
        </w:rPr>
        <w:t>现将有关情况报告如下：</w:t>
      </w:r>
    </w:p>
    <w:p w14:paraId="7C8F6043">
      <w:pPr>
        <w:pStyle w:val="4"/>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黑体" w:hAnsi="黑体" w:eastAsia="黑体" w:cs="黑体"/>
          <w:bCs/>
          <w:color w:val="000000"/>
          <w:sz w:val="32"/>
          <w:lang w:val="en-US" w:eastAsia="zh-CN"/>
        </w:rPr>
      </w:pPr>
      <w:r>
        <w:rPr>
          <w:rFonts w:hint="eastAsia" w:ascii="黑体" w:hAnsi="黑体" w:eastAsia="黑体" w:cs="黑体"/>
          <w:bCs/>
          <w:color w:val="000000"/>
          <w:sz w:val="32"/>
          <w:lang w:val="en-US" w:eastAsia="zh-CN"/>
        </w:rPr>
        <w:t>一、2024年年推进法治政府建设的主要举措和成效</w:t>
      </w:r>
    </w:p>
    <w:p w14:paraId="2ED0F9EB">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val="0"/>
          <w:bCs w:val="0"/>
          <w:kern w:val="0"/>
          <w:sz w:val="32"/>
          <w:szCs w:val="32"/>
          <w:lang w:val="en-US" w:eastAsia="zh-CN" w:bidi="ar"/>
        </w:rPr>
      </w:pPr>
      <w:r>
        <w:rPr>
          <w:rFonts w:hint="eastAsia" w:ascii="楷体" w:hAnsi="楷体" w:eastAsia="楷体" w:cs="楷体"/>
          <w:b w:val="0"/>
          <w:bCs w:val="0"/>
          <w:kern w:val="0"/>
          <w:sz w:val="32"/>
          <w:szCs w:val="32"/>
          <w:lang w:bidi="ar"/>
        </w:rPr>
        <w:t>（一）</w:t>
      </w:r>
      <w:r>
        <w:rPr>
          <w:rFonts w:hint="eastAsia" w:ascii="楷体" w:hAnsi="楷体" w:eastAsia="楷体" w:cs="楷体"/>
          <w:b w:val="0"/>
          <w:bCs w:val="0"/>
          <w:kern w:val="0"/>
          <w:sz w:val="32"/>
          <w:szCs w:val="32"/>
          <w:lang w:val="en-US" w:eastAsia="zh-CN" w:bidi="ar"/>
        </w:rPr>
        <w:t>坚持党的领导，法治政府建设统筹推进</w:t>
      </w:r>
    </w:p>
    <w:p w14:paraId="483B536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bCs/>
          <w:kern w:val="0"/>
          <w:sz w:val="32"/>
          <w:szCs w:val="32"/>
          <w:lang w:val="en-US" w:eastAsia="zh-CN" w:bidi="ar"/>
        </w:rPr>
      </w:pPr>
      <w:r>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t>深学笃行习近平法治思想。</w:t>
      </w:r>
      <w:r>
        <w:rPr>
          <w:rFonts w:hint="eastAsia" w:ascii="Times New Roman" w:hAnsi="Times New Roman" w:eastAsia="仿宋_GB2312" w:cs="Times New Roman"/>
          <w:spacing w:val="0"/>
          <w:kern w:val="44"/>
          <w:sz w:val="32"/>
          <w:szCs w:val="32"/>
          <w:lang w:val="en-US" w:eastAsia="zh-CN"/>
        </w:rPr>
        <w:t>始终坚持把学习宣传贯彻习近平法治思想作为重大政治任务，全区各级党委（党组）理论学习中心组专题学</w:t>
      </w:r>
      <w:r>
        <w:rPr>
          <w:rFonts w:hint="eastAsia" w:ascii="Times New Roman" w:hAnsi="Times New Roman" w:eastAsia="仿宋_GB2312" w:cs="Times New Roman"/>
          <w:spacing w:val="0"/>
          <w:kern w:val="0"/>
          <w:sz w:val="32"/>
          <w:szCs w:val="32"/>
          <w:shd w:val="clear" w:color="auto" w:fill="FFFFFF"/>
          <w:lang w:val="en-US" w:eastAsia="zh-CN" w:bidi="ar"/>
        </w:rPr>
        <w:t>习</w:t>
      </w:r>
      <w:r>
        <w:rPr>
          <w:rFonts w:hint="eastAsia" w:ascii="仿宋_GB2312" w:hAnsi="仿宋_GB2312" w:eastAsia="仿宋_GB2312" w:cs="仿宋_GB2312"/>
          <w:spacing w:val="0"/>
          <w:kern w:val="0"/>
          <w:sz w:val="32"/>
          <w:szCs w:val="32"/>
          <w:shd w:val="clear" w:color="auto" w:fill="FFFFFF"/>
          <w:lang w:val="en-US" w:eastAsia="zh-CN" w:bidi="ar"/>
        </w:rPr>
        <w:t>100</w:t>
      </w:r>
      <w:r>
        <w:rPr>
          <w:rFonts w:hint="eastAsia" w:ascii="Times New Roman" w:hAnsi="Times New Roman" w:eastAsia="仿宋_GB2312" w:cs="Times New Roman"/>
          <w:spacing w:val="0"/>
          <w:kern w:val="0"/>
          <w:sz w:val="32"/>
          <w:szCs w:val="32"/>
          <w:shd w:val="clear" w:color="auto" w:fill="FFFFFF"/>
          <w:lang w:val="en-US" w:eastAsia="zh-CN" w:bidi="ar"/>
        </w:rPr>
        <w:t>余</w:t>
      </w:r>
      <w:r>
        <w:rPr>
          <w:rFonts w:hint="eastAsia" w:ascii="Times New Roman" w:hAnsi="Times New Roman" w:eastAsia="仿宋_GB2312" w:cs="Times New Roman"/>
          <w:spacing w:val="0"/>
          <w:kern w:val="44"/>
          <w:sz w:val="32"/>
          <w:szCs w:val="32"/>
          <w:lang w:val="en-US" w:eastAsia="zh-CN"/>
        </w:rPr>
        <w:t>场次。</w:t>
      </w:r>
      <w:r>
        <w:rPr>
          <w:rFonts w:hint="eastAsia" w:ascii="Times New Roman" w:hAnsi="Times New Roman" w:eastAsia="仿宋_GB2312" w:cs="Times New Roman"/>
          <w:spacing w:val="0"/>
          <w:kern w:val="44"/>
          <w:sz w:val="32"/>
          <w:szCs w:val="32"/>
          <w:lang w:eastAsia="zh-CN"/>
        </w:rPr>
        <w:t>区委理论学习中心组集中</w:t>
      </w:r>
      <w:r>
        <w:rPr>
          <w:rFonts w:hint="eastAsia" w:ascii="Times New Roman" w:hAnsi="Times New Roman" w:eastAsia="仿宋_GB2312" w:cs="Times New Roman"/>
          <w:spacing w:val="0"/>
          <w:kern w:val="44"/>
          <w:sz w:val="32"/>
          <w:szCs w:val="32"/>
        </w:rPr>
        <w:t>学习</w:t>
      </w:r>
      <w:r>
        <w:rPr>
          <w:rFonts w:hint="eastAsia" w:ascii="Times New Roman" w:hAnsi="Times New Roman" w:eastAsia="仿宋_GB2312" w:cs="Times New Roman"/>
          <w:spacing w:val="0"/>
          <w:kern w:val="44"/>
          <w:sz w:val="32"/>
          <w:szCs w:val="32"/>
          <w:lang w:eastAsia="zh-CN"/>
        </w:rPr>
        <w:t>党的二十届三中全会精神，并对</w:t>
      </w:r>
      <w:r>
        <w:rPr>
          <w:rFonts w:hint="eastAsia" w:ascii="Times New Roman" w:hAnsi="Times New Roman" w:eastAsia="仿宋_GB2312" w:cs="Times New Roman"/>
          <w:spacing w:val="0"/>
          <w:kern w:val="44"/>
          <w:sz w:val="32"/>
          <w:szCs w:val="32"/>
          <w:lang w:val="en-US" w:eastAsia="zh-CN"/>
        </w:rPr>
        <w:t>《习近平法治思想学习纲要》专章内容进行研讨。区政府常务会开展法治</w:t>
      </w:r>
      <w:r>
        <w:rPr>
          <w:rFonts w:hint="eastAsia" w:ascii="仿宋_GB2312" w:hAnsi="仿宋_GB2312" w:eastAsia="仿宋_GB2312" w:cs="仿宋_GB2312"/>
          <w:spacing w:val="0"/>
          <w:kern w:val="2"/>
          <w:sz w:val="32"/>
          <w:szCs w:val="32"/>
          <w:lang w:val="en-US" w:eastAsia="zh-CN" w:bidi="ar-SA"/>
        </w:rPr>
        <w:t>专题讲座2次、集中观看庭审视频活动1</w:t>
      </w:r>
      <w:r>
        <w:rPr>
          <w:rFonts w:hint="eastAsia" w:ascii="Times New Roman" w:hAnsi="Times New Roman" w:eastAsia="仿宋_GB2312" w:cs="Times New Roman"/>
          <w:spacing w:val="0"/>
          <w:kern w:val="44"/>
          <w:sz w:val="32"/>
          <w:szCs w:val="32"/>
          <w:lang w:val="en-US" w:eastAsia="zh-CN"/>
        </w:rPr>
        <w:t>次。举办领导干部法治讲座、行政执法人员集中培训活动等，不断推动习近平法治思想入脑入心走深走实。</w:t>
      </w:r>
    </w:p>
    <w:p w14:paraId="5CD0724B">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t>压紧压实法治政府建设职责。</w:t>
      </w:r>
      <w:r>
        <w:rPr>
          <w:rFonts w:hint="eastAsia" w:ascii="仿宋_GB2312" w:hAnsi="仿宋_GB2312" w:eastAsia="仿宋_GB2312" w:cs="仿宋_GB2312"/>
          <w:spacing w:val="0"/>
          <w:sz w:val="32"/>
          <w:szCs w:val="32"/>
          <w:lang w:val="en-US" w:eastAsia="zh-CN"/>
        </w:rPr>
        <w:t>区委、区政府主要负责同志认真履行推进法治建设第一责任人职责，</w:t>
      </w:r>
      <w:r>
        <w:rPr>
          <w:rFonts w:hint="eastAsia" w:ascii="仿宋_GB2312" w:hAnsi="仿宋_GB2312" w:eastAsia="仿宋_GB2312" w:cs="仿宋_GB2312"/>
          <w:spacing w:val="0"/>
          <w:kern w:val="0"/>
          <w:sz w:val="32"/>
          <w:szCs w:val="32"/>
          <w:shd w:val="clear" w:color="auto" w:fill="FFFFFF"/>
          <w:lang w:val="en-US" w:eastAsia="zh-CN" w:bidi="ar"/>
        </w:rPr>
        <w:t>区委常委会先后7次</w:t>
      </w:r>
      <w:r>
        <w:rPr>
          <w:rFonts w:hint="eastAsia" w:ascii="仿宋_GB2312" w:hAnsi="仿宋_GB2312" w:eastAsia="仿宋_GB2312" w:cs="仿宋_GB2312"/>
          <w:spacing w:val="0"/>
          <w:sz w:val="32"/>
          <w:szCs w:val="32"/>
          <w:lang w:val="en-US" w:eastAsia="zh-CN"/>
        </w:rPr>
        <w:t>研究部署述法会议点评意见整改、行政复议应诉考核等法治建设重要工作、重大问题；</w:t>
      </w:r>
      <w:r>
        <w:rPr>
          <w:rFonts w:hint="eastAsia" w:ascii="仿宋_GB2312" w:hAnsi="仿宋_GB2312" w:eastAsia="仿宋_GB2312" w:cs="仿宋_GB2312"/>
          <w:spacing w:val="0"/>
          <w:kern w:val="0"/>
          <w:sz w:val="32"/>
          <w:szCs w:val="32"/>
          <w:shd w:val="clear" w:color="auto" w:fill="FFFFFF"/>
          <w:lang w:val="en-US" w:eastAsia="zh-CN" w:bidi="ar"/>
        </w:rPr>
        <w:t>区政府常务会议先后9次专题研究部署法治政府建设、行政执法等工作，</w:t>
      </w:r>
      <w:r>
        <w:rPr>
          <w:rFonts w:hint="eastAsia" w:ascii="仿宋_GB2312" w:hAnsi="仿宋_GB2312" w:eastAsia="仿宋_GB2312" w:cs="仿宋_GB2312"/>
          <w:spacing w:val="0"/>
          <w:sz w:val="32"/>
          <w:szCs w:val="32"/>
          <w:lang w:val="en-US" w:eastAsia="zh-CN"/>
        </w:rPr>
        <w:t>对重大行政决策事项进行深入研究</w:t>
      </w:r>
      <w:r>
        <w:rPr>
          <w:rFonts w:hint="eastAsia" w:ascii="仿宋_GB2312" w:hAnsi="仿宋_GB2312" w:eastAsia="仿宋_GB2312" w:cs="仿宋_GB2312"/>
          <w:spacing w:val="0"/>
          <w:kern w:val="0"/>
          <w:sz w:val="32"/>
          <w:szCs w:val="32"/>
          <w:shd w:val="clear" w:color="auto" w:fill="FFFFFF"/>
          <w:lang w:val="en-US" w:eastAsia="zh-CN" w:bidi="ar"/>
        </w:rPr>
        <w:t>。制定</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b w:val="0"/>
          <w:i w:val="0"/>
          <w:caps w:val="0"/>
          <w:spacing w:val="0"/>
          <w:w w:val="100"/>
          <w:kern w:val="0"/>
          <w:sz w:val="32"/>
          <w:szCs w:val="32"/>
          <w:lang w:eastAsia="zh-CN"/>
        </w:rPr>
        <w:t>柳北区</w:t>
      </w:r>
      <w:r>
        <w:rPr>
          <w:rFonts w:hint="eastAsia" w:ascii="仿宋_GB2312" w:hAnsi="仿宋_GB2312" w:eastAsia="仿宋_GB2312" w:cs="仿宋_GB2312"/>
          <w:b w:val="0"/>
          <w:i w:val="0"/>
          <w:caps w:val="0"/>
          <w:spacing w:val="0"/>
          <w:w w:val="100"/>
          <w:kern w:val="0"/>
          <w:sz w:val="32"/>
          <w:szCs w:val="32"/>
        </w:rPr>
        <w:t>党政主要负责人履行推进法治建设第一责任人职责</w:t>
      </w:r>
      <w:r>
        <w:rPr>
          <w:rFonts w:hint="eastAsia" w:ascii="仿宋_GB2312" w:hAnsi="仿宋_GB2312" w:eastAsia="仿宋_GB2312" w:cs="仿宋_GB2312"/>
          <w:b w:val="0"/>
          <w:i w:val="0"/>
          <w:caps w:val="0"/>
          <w:spacing w:val="0"/>
          <w:w w:val="100"/>
          <w:kern w:val="0"/>
          <w:sz w:val="32"/>
          <w:szCs w:val="32"/>
          <w:lang w:eastAsia="zh-CN"/>
        </w:rPr>
        <w:t>清单</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kern w:val="0"/>
          <w:sz w:val="32"/>
          <w:szCs w:val="32"/>
          <w:shd w:val="clear" w:color="auto" w:fill="FFFFFF"/>
          <w:lang w:val="en-US" w:eastAsia="zh-CN" w:bidi="ar"/>
        </w:rPr>
        <w:t>开展党政主要负责人述法评议工作，实现“专题述法”与“普遍述法”全覆盖。</w:t>
      </w:r>
      <w:r>
        <w:rPr>
          <w:rFonts w:hint="eastAsia" w:ascii="仿宋_GB2312" w:hAnsi="仿宋_GB2312" w:eastAsia="仿宋_GB2312" w:cs="仿宋_GB2312"/>
          <w:spacing w:val="0"/>
          <w:sz w:val="32"/>
          <w:szCs w:val="32"/>
          <w:lang w:val="en-US" w:eastAsia="zh-CN"/>
        </w:rPr>
        <w:t>落实法治政府建设年度工作报告制度。</w:t>
      </w:r>
    </w:p>
    <w:p w14:paraId="06BEFEF1">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bCs/>
          <w:kern w:val="0"/>
          <w:sz w:val="32"/>
          <w:szCs w:val="32"/>
          <w:lang w:val="en-US" w:eastAsia="zh-CN" w:bidi="ar"/>
        </w:rPr>
      </w:pPr>
      <w:r>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t>推进法治政府建设考评督察。</w:t>
      </w:r>
      <w:r>
        <w:rPr>
          <w:rFonts w:hint="eastAsia" w:ascii="仿宋_GB2312" w:hAnsi="仿宋_GB2312" w:eastAsia="仿宋_GB2312" w:cs="仿宋_GB2312"/>
          <w:i w:val="0"/>
          <w:color w:val="000000" w:themeColor="text1"/>
          <w:spacing w:val="0"/>
          <w:kern w:val="2"/>
          <w:sz w:val="32"/>
          <w:szCs w:val="32"/>
          <w:shd w:val="clear" w:color="auto" w:fill="FFFFFF"/>
          <w:lang w:val="en-US" w:eastAsia="zh-CN" w:bidi="ar-SA"/>
          <w14:textFill>
            <w14:solidFill>
              <w14:schemeClr w14:val="tx1"/>
            </w14:solidFill>
          </w14:textFill>
        </w:rPr>
        <w:t>将法治建设纳入城区综合绩效考核内容，强化考评结果运用。扎实开展法治建设督察，重点对学习贯彻习近平法治思想、优化法治化营商环境情况等9个方面开展督察，在组织城区各单位书面自查的基础上，高质量做好</w:t>
      </w:r>
      <w:r>
        <w:rPr>
          <w:rFonts w:hint="eastAsia" w:ascii="仿宋_GB2312" w:hAnsi="仿宋_GB2312" w:eastAsia="仿宋_GB2312" w:cs="仿宋_GB2312"/>
          <w:color w:val="000000"/>
          <w:spacing w:val="0"/>
          <w:kern w:val="2"/>
          <w:sz w:val="32"/>
          <w:szCs w:val="32"/>
          <w:u w:val="none"/>
          <w:lang w:val="en-US" w:eastAsia="zh-CN" w:bidi="ar-SA"/>
        </w:rPr>
        <w:t>中央依法治国办第五督察组、市</w:t>
      </w:r>
      <w:r>
        <w:rPr>
          <w:rFonts w:hint="default" w:ascii="仿宋_GB2312" w:hAnsi="仿宋_GB2312" w:eastAsia="仿宋_GB2312" w:cs="仿宋_GB2312"/>
          <w:color w:val="000000"/>
          <w:spacing w:val="0"/>
          <w:kern w:val="2"/>
          <w:sz w:val="32"/>
          <w:szCs w:val="32"/>
          <w:u w:val="none"/>
          <w:lang w:val="en-US" w:eastAsia="zh-CN" w:bidi="ar-SA"/>
        </w:rPr>
        <w:t>委依法治</w:t>
      </w:r>
      <w:r>
        <w:rPr>
          <w:rFonts w:hint="eastAsia" w:ascii="仿宋_GB2312" w:hAnsi="仿宋_GB2312" w:eastAsia="仿宋_GB2312" w:cs="仿宋_GB2312"/>
          <w:color w:val="000000"/>
          <w:spacing w:val="0"/>
          <w:kern w:val="2"/>
          <w:sz w:val="32"/>
          <w:szCs w:val="32"/>
          <w:u w:val="none"/>
          <w:lang w:val="en-US" w:eastAsia="zh-CN" w:bidi="ar-SA"/>
        </w:rPr>
        <w:t>市</w:t>
      </w:r>
      <w:r>
        <w:rPr>
          <w:rFonts w:hint="default" w:ascii="仿宋_GB2312" w:hAnsi="仿宋_GB2312" w:eastAsia="仿宋_GB2312" w:cs="仿宋_GB2312"/>
          <w:color w:val="000000"/>
          <w:spacing w:val="0"/>
          <w:kern w:val="2"/>
          <w:sz w:val="32"/>
          <w:szCs w:val="32"/>
          <w:u w:val="none"/>
          <w:lang w:val="en-US" w:eastAsia="zh-CN" w:bidi="ar-SA"/>
        </w:rPr>
        <w:t>办</w:t>
      </w:r>
      <w:r>
        <w:rPr>
          <w:rFonts w:hint="eastAsia" w:ascii="仿宋_GB2312" w:hAnsi="仿宋_GB2312" w:eastAsia="仿宋_GB2312" w:cs="仿宋_GB2312"/>
          <w:color w:val="000000"/>
          <w:spacing w:val="0"/>
          <w:kern w:val="2"/>
          <w:sz w:val="32"/>
          <w:szCs w:val="32"/>
          <w:u w:val="none"/>
          <w:lang w:val="en-US" w:eastAsia="zh-CN" w:bidi="ar-SA"/>
        </w:rPr>
        <w:t>对我区</w:t>
      </w:r>
      <w:r>
        <w:rPr>
          <w:rFonts w:hint="default" w:ascii="仿宋_GB2312" w:hAnsi="仿宋_GB2312" w:eastAsia="仿宋_GB2312" w:cs="仿宋_GB2312"/>
          <w:color w:val="000000"/>
          <w:spacing w:val="0"/>
          <w:kern w:val="2"/>
          <w:sz w:val="32"/>
          <w:szCs w:val="32"/>
          <w:u w:val="none"/>
          <w:lang w:val="en-US" w:eastAsia="zh-CN" w:bidi="ar-SA"/>
        </w:rPr>
        <w:t>法治建设实地督察</w:t>
      </w:r>
      <w:r>
        <w:rPr>
          <w:rFonts w:hint="eastAsia" w:ascii="仿宋_GB2312" w:hAnsi="仿宋_GB2312" w:eastAsia="仿宋_GB2312" w:cs="仿宋_GB2312"/>
          <w:color w:val="000000"/>
          <w:spacing w:val="0"/>
          <w:kern w:val="2"/>
          <w:sz w:val="32"/>
          <w:szCs w:val="32"/>
          <w:u w:val="none"/>
          <w:lang w:val="en-US" w:eastAsia="zh-CN" w:bidi="ar-SA"/>
        </w:rPr>
        <w:t>迎检工作，</w:t>
      </w:r>
      <w:r>
        <w:rPr>
          <w:rFonts w:hint="eastAsia" w:ascii="仿宋_GB2312" w:hAnsi="仿宋_GB2312" w:eastAsia="仿宋_GB2312" w:cs="仿宋_GB2312"/>
          <w:i w:val="0"/>
          <w:color w:val="000000" w:themeColor="text1"/>
          <w:spacing w:val="0"/>
          <w:kern w:val="2"/>
          <w:sz w:val="32"/>
          <w:szCs w:val="32"/>
          <w:shd w:val="clear" w:color="auto" w:fill="FFFFFF"/>
          <w:lang w:val="en-US" w:eastAsia="zh-CN" w:bidi="ar-SA"/>
          <w14:textFill>
            <w14:solidFill>
              <w14:schemeClr w14:val="tx1"/>
            </w14:solidFill>
          </w14:textFill>
        </w:rPr>
        <w:t>对督察中发现的5个问题进行梳理，分类督促跟进具体问题的整改落实，倒逼被督察单位提升法治政府建设水平。</w:t>
      </w:r>
    </w:p>
    <w:p w14:paraId="386F23E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val="0"/>
          <w:bCs w:val="0"/>
          <w:i w:val="0"/>
          <w:color w:val="000000" w:themeColor="text1"/>
          <w:spacing w:val="0"/>
          <w:kern w:val="2"/>
          <w:sz w:val="32"/>
          <w:szCs w:val="32"/>
          <w:shd w:val="clear" w:color="auto" w:fill="FFFFFF"/>
          <w:lang w:val="en-US" w:eastAsia="zh-CN" w:bidi="ar-SA"/>
          <w14:textFill>
            <w14:solidFill>
              <w14:schemeClr w14:val="tx1"/>
            </w14:solidFill>
          </w14:textFill>
        </w:rPr>
      </w:pPr>
      <w:r>
        <w:rPr>
          <w:rFonts w:hint="eastAsia" w:ascii="楷体" w:hAnsi="楷体" w:eastAsia="楷体" w:cs="楷体"/>
          <w:b w:val="0"/>
          <w:bCs w:val="0"/>
          <w:kern w:val="0"/>
          <w:sz w:val="32"/>
          <w:szCs w:val="32"/>
          <w:lang w:val="en-US" w:eastAsia="zh-CN" w:bidi="ar"/>
        </w:rPr>
        <w:t>（二）坚持改革创新，政府职能依法全面履行</w:t>
      </w:r>
    </w:p>
    <w:p w14:paraId="7D7BFE0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val="0"/>
          <w:bCs w:val="0"/>
          <w:snapToGrid w:val="0"/>
          <w:color w:val="auto"/>
          <w:spacing w:val="0"/>
          <w:kern w:val="0"/>
          <w:sz w:val="32"/>
          <w:szCs w:val="32"/>
          <w:highlight w:val="none"/>
          <w:u w:val="none"/>
          <w:lang w:eastAsia="zh-CN"/>
        </w:rPr>
      </w:pPr>
      <w:r>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t>深化“放管服”改革。</w:t>
      </w:r>
      <w:r>
        <w:rPr>
          <w:rFonts w:hint="eastAsia" w:ascii="仿宋_GB2312" w:hAnsi="仿宋_GB2312" w:eastAsia="仿宋_GB2312" w:cs="仿宋_GB2312"/>
          <w:sz w:val="32"/>
          <w:szCs w:val="32"/>
        </w:rPr>
        <w:t>推行“一窗受理、合并审查、集约审批、一站办结”的审批模式，开设行政审批和综合服务2类审批（服务）专窗，实现</w:t>
      </w:r>
      <w:r>
        <w:rPr>
          <w:rFonts w:hint="eastAsia" w:ascii="仿宋_GB2312" w:hAnsi="仿宋_GB2312" w:eastAsia="仿宋_GB2312" w:cs="仿宋_GB2312"/>
          <w:sz w:val="32"/>
          <w:szCs w:val="32"/>
          <w:lang w:eastAsia="zh-CN"/>
        </w:rPr>
        <w:t>政务服务</w:t>
      </w:r>
      <w:r>
        <w:rPr>
          <w:rFonts w:hint="eastAsia" w:ascii="仿宋_GB2312" w:hAnsi="仿宋_GB2312" w:eastAsia="仿宋_GB2312" w:cs="仿宋_GB2312"/>
          <w:sz w:val="32"/>
          <w:szCs w:val="32"/>
        </w:rPr>
        <w:t>事项“只进一扇门”完成“一站式”办理。</w:t>
      </w:r>
      <w:r>
        <w:rPr>
          <w:rFonts w:hint="eastAsia" w:ascii="仿宋_GB2312" w:eastAsia="仿宋_GB2312" w:cs="Times New Roman"/>
          <w:b w:val="0"/>
          <w:bCs w:val="0"/>
          <w:color w:val="000000" w:themeColor="text1"/>
          <w:spacing w:val="0"/>
          <w:sz w:val="32"/>
          <w:szCs w:val="32"/>
          <w:lang w:val="en-US" w:eastAsia="zh-CN"/>
          <w14:textFill>
            <w14:solidFill>
              <w14:schemeClr w14:val="tx1"/>
            </w14:solidFill>
          </w14:textFill>
        </w:rPr>
        <w:t>优化政务服务办事能力，即办件比例达到55.86%，依申请事项和公共服务事项的提速率达84.49%。推进“高效办成一件事”改革，认领套餐20个。</w:t>
      </w:r>
      <w:r>
        <w:rPr>
          <w:rFonts w:hint="eastAsia" w:ascii="仿宋_GB2312" w:hAnsi="仿宋_GB2312" w:eastAsia="仿宋_GB2312" w:cs="仿宋_GB2312"/>
          <w:b w:val="0"/>
          <w:bCs w:val="0"/>
          <w:color w:val="auto"/>
          <w:spacing w:val="0"/>
          <w:sz w:val="32"/>
          <w:szCs w:val="32"/>
          <w:highlight w:val="none"/>
          <w:u w:val="none"/>
          <w:shd w:val="clear" w:color="auto" w:fill="FFFFFF"/>
          <w:lang w:eastAsia="zh-CN"/>
        </w:rPr>
        <w:t>优化企业开办流程，实现企业开办“</w:t>
      </w:r>
      <w:r>
        <w:rPr>
          <w:rFonts w:hint="eastAsia" w:ascii="仿宋_GB2312" w:hAnsi="仿宋_GB2312" w:eastAsia="仿宋_GB2312" w:cs="仿宋_GB2312"/>
          <w:b w:val="0"/>
          <w:bCs w:val="0"/>
          <w:snapToGrid w:val="0"/>
          <w:color w:val="auto"/>
          <w:spacing w:val="0"/>
          <w:kern w:val="0"/>
          <w:sz w:val="32"/>
          <w:szCs w:val="32"/>
          <w:highlight w:val="none"/>
          <w:u w:val="none"/>
          <w:lang w:eastAsia="zh-CN"/>
        </w:rPr>
        <w:t>2</w:t>
      </w:r>
      <w:r>
        <w:rPr>
          <w:rFonts w:hint="eastAsia" w:ascii="仿宋_GB2312" w:hAnsi="仿宋_GB2312" w:eastAsia="仿宋_GB2312" w:cs="仿宋_GB2312"/>
          <w:b w:val="0"/>
          <w:bCs w:val="0"/>
          <w:color w:val="auto"/>
          <w:spacing w:val="0"/>
          <w:sz w:val="32"/>
          <w:szCs w:val="32"/>
          <w:highlight w:val="none"/>
          <w:u w:val="none"/>
          <w:shd w:val="clear" w:color="auto" w:fill="FFFFFF"/>
          <w:lang w:eastAsia="zh-CN"/>
        </w:rPr>
        <w:t>个环节、7个事项、1个工作日内办结”。</w:t>
      </w:r>
      <w:r>
        <w:rPr>
          <w:rFonts w:hint="eastAsia" w:ascii="仿宋_GB2312" w:hAnsi="仿宋_GB2312" w:eastAsia="仿宋_GB2312" w:cs="仿宋_GB2312"/>
          <w:b w:val="0"/>
          <w:bCs w:val="0"/>
          <w:snapToGrid w:val="0"/>
          <w:color w:val="auto"/>
          <w:spacing w:val="0"/>
          <w:kern w:val="0"/>
          <w:sz w:val="32"/>
          <w:szCs w:val="32"/>
          <w:highlight w:val="none"/>
          <w:u w:val="none"/>
          <w:lang w:eastAsia="zh-CN"/>
        </w:rPr>
        <w:t>降低企业经营成本，对新办企业免费刻制首套5枚印章，提供“照、章、票”免费邮寄服务，已向655户新设立企业赠送3275枚印章。</w:t>
      </w:r>
    </w:p>
    <w:p w14:paraId="61C203C6">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val="0"/>
          <w:bCs w:val="0"/>
          <w:snapToGrid w:val="0"/>
          <w:color w:val="auto"/>
          <w:spacing w:val="0"/>
          <w:kern w:val="0"/>
          <w:sz w:val="32"/>
          <w:szCs w:val="32"/>
          <w:highlight w:val="none"/>
          <w:u w:val="none"/>
          <w:lang w:val="en-US" w:eastAsia="zh-CN"/>
        </w:rPr>
      </w:pPr>
      <w:r>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t>优化法治化营商环境。</w:t>
      </w:r>
      <w:r>
        <w:rPr>
          <w:rFonts w:hint="default" w:ascii="仿宋_GB2312" w:hAnsi="仿宋_GB2312" w:eastAsia="仿宋_GB2312" w:cs="仿宋_GB2312"/>
          <w:b w:val="0"/>
          <w:bCs w:val="0"/>
          <w:snapToGrid w:val="0"/>
          <w:color w:val="auto"/>
          <w:spacing w:val="0"/>
          <w:kern w:val="0"/>
          <w:sz w:val="32"/>
          <w:szCs w:val="32"/>
          <w:highlight w:val="none"/>
          <w:u w:val="none"/>
          <w:lang w:val="en-US" w:eastAsia="zh-CN"/>
        </w:rPr>
        <w:t>开展自查、清理妨碍统一市场和公平竞争的各种规范性文件，</w:t>
      </w:r>
      <w:r>
        <w:rPr>
          <w:rFonts w:hint="eastAsia" w:ascii="仿宋_GB2312" w:hAnsi="仿宋_GB2312" w:eastAsia="仿宋_GB2312" w:cs="仿宋_GB2312"/>
          <w:b w:val="0"/>
          <w:bCs w:val="0"/>
          <w:sz w:val="32"/>
          <w:szCs w:val="32"/>
          <w:highlight w:val="none"/>
          <w:lang w:val="en-US" w:eastAsia="zh-CN"/>
        </w:rPr>
        <w:t>对2013年以来制定的有效规范文件和其他政策措施14件进行清理，清理结果均为不具有排除、限制竞争效果。</w:t>
      </w:r>
      <w:r>
        <w:rPr>
          <w:rFonts w:hint="eastAsia" w:ascii="仿宋_GB2312" w:hAnsi="仿宋_GB2312" w:eastAsia="仿宋_GB2312" w:cs="仿宋_GB2312"/>
          <w:b w:val="0"/>
          <w:bCs w:val="0"/>
          <w:snapToGrid w:val="0"/>
          <w:color w:val="auto"/>
          <w:spacing w:val="0"/>
          <w:kern w:val="0"/>
          <w:sz w:val="32"/>
          <w:szCs w:val="32"/>
          <w:highlight w:val="none"/>
          <w:u w:val="none"/>
          <w:lang w:val="en-US" w:eastAsia="zh-CN"/>
        </w:rPr>
        <w:t>建立经营主体反映问题响应处置机制，处置“企业诉求”服务专线案件170件，办结率100%。</w:t>
      </w:r>
      <w:r>
        <w:rPr>
          <w:rFonts w:hint="default" w:ascii="仿宋_GB2312" w:hAnsi="仿宋_GB2312" w:eastAsia="仿宋_GB2312" w:cs="仿宋_GB2312"/>
          <w:b w:val="0"/>
          <w:bCs w:val="0"/>
          <w:snapToGrid w:val="0"/>
          <w:color w:val="auto"/>
          <w:spacing w:val="0"/>
          <w:kern w:val="0"/>
          <w:sz w:val="32"/>
          <w:szCs w:val="32"/>
          <w:highlight w:val="none"/>
          <w:u w:val="none"/>
          <w:lang w:val="en-US" w:eastAsia="zh-CN"/>
        </w:rPr>
        <w:t>城区四家班子</w:t>
      </w:r>
      <w:r>
        <w:rPr>
          <w:rFonts w:hint="eastAsia" w:ascii="仿宋_GB2312" w:hAnsi="仿宋_GB2312" w:eastAsia="仿宋_GB2312" w:cs="仿宋_GB2312"/>
          <w:b w:val="0"/>
          <w:bCs w:val="0"/>
          <w:snapToGrid w:val="0"/>
          <w:color w:val="auto"/>
          <w:spacing w:val="0"/>
          <w:kern w:val="0"/>
          <w:sz w:val="32"/>
          <w:szCs w:val="32"/>
          <w:highlight w:val="none"/>
          <w:u w:val="none"/>
          <w:lang w:val="en-US" w:eastAsia="zh-CN"/>
        </w:rPr>
        <w:t>领导</w:t>
      </w:r>
      <w:r>
        <w:rPr>
          <w:rFonts w:hint="default" w:ascii="仿宋_GB2312" w:hAnsi="仿宋_GB2312" w:eastAsia="仿宋_GB2312" w:cs="仿宋_GB2312"/>
          <w:b w:val="0"/>
          <w:bCs w:val="0"/>
          <w:snapToGrid w:val="0"/>
          <w:color w:val="auto"/>
          <w:spacing w:val="0"/>
          <w:kern w:val="0"/>
          <w:sz w:val="32"/>
          <w:szCs w:val="32"/>
          <w:highlight w:val="none"/>
          <w:u w:val="none"/>
          <w:lang w:val="en-US" w:eastAsia="zh-CN"/>
        </w:rPr>
        <w:t>带队开展服务实体经济集中调研活动，走访180家重点企业和17个重点项目，累计收集</w:t>
      </w:r>
      <w:r>
        <w:rPr>
          <w:rFonts w:hint="eastAsia" w:ascii="仿宋_GB2312" w:hAnsi="仿宋_GB2312" w:eastAsia="仿宋_GB2312" w:cs="仿宋_GB2312"/>
          <w:b w:val="0"/>
          <w:bCs w:val="0"/>
          <w:snapToGrid w:val="0"/>
          <w:color w:val="auto"/>
          <w:spacing w:val="0"/>
          <w:kern w:val="0"/>
          <w:sz w:val="32"/>
          <w:szCs w:val="32"/>
          <w:highlight w:val="none"/>
          <w:u w:val="none"/>
          <w:lang w:val="en-US" w:eastAsia="zh-CN"/>
        </w:rPr>
        <w:t>并解决</w:t>
      </w:r>
      <w:r>
        <w:rPr>
          <w:rFonts w:hint="default" w:ascii="仿宋_GB2312" w:hAnsi="仿宋_GB2312" w:eastAsia="仿宋_GB2312" w:cs="仿宋_GB2312"/>
          <w:b w:val="0"/>
          <w:bCs w:val="0"/>
          <w:snapToGrid w:val="0"/>
          <w:color w:val="auto"/>
          <w:spacing w:val="0"/>
          <w:kern w:val="0"/>
          <w:sz w:val="32"/>
          <w:szCs w:val="32"/>
          <w:highlight w:val="none"/>
          <w:u w:val="none"/>
          <w:lang w:val="en-US" w:eastAsia="zh-CN"/>
        </w:rPr>
        <w:t>企业反映问题</w:t>
      </w:r>
      <w:r>
        <w:rPr>
          <w:rFonts w:hint="eastAsia" w:ascii="仿宋_GB2312" w:hAnsi="仿宋_GB2312" w:eastAsia="仿宋_GB2312" w:cs="仿宋_GB2312"/>
          <w:b w:val="0"/>
          <w:bCs w:val="0"/>
          <w:snapToGrid w:val="0"/>
          <w:color w:val="auto"/>
          <w:spacing w:val="0"/>
          <w:kern w:val="0"/>
          <w:sz w:val="32"/>
          <w:szCs w:val="32"/>
          <w:highlight w:val="none"/>
          <w:u w:val="none"/>
          <w:lang w:val="en-US" w:eastAsia="zh-CN"/>
        </w:rPr>
        <w:t>132</w:t>
      </w:r>
      <w:r>
        <w:rPr>
          <w:rFonts w:hint="default" w:ascii="仿宋_GB2312" w:hAnsi="仿宋_GB2312" w:eastAsia="仿宋_GB2312" w:cs="仿宋_GB2312"/>
          <w:b w:val="0"/>
          <w:bCs w:val="0"/>
          <w:snapToGrid w:val="0"/>
          <w:color w:val="auto"/>
          <w:spacing w:val="0"/>
          <w:kern w:val="0"/>
          <w:sz w:val="32"/>
          <w:szCs w:val="32"/>
          <w:highlight w:val="none"/>
          <w:u w:val="none"/>
          <w:lang w:val="en-US" w:eastAsia="zh-CN"/>
        </w:rPr>
        <w:t>个。</w:t>
      </w:r>
    </w:p>
    <w:p w14:paraId="3AF2F199">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val="0"/>
          <w:bCs w:val="0"/>
          <w:kern w:val="0"/>
          <w:sz w:val="32"/>
          <w:szCs w:val="32"/>
          <w:lang w:val="en-US" w:eastAsia="zh-CN" w:bidi="ar"/>
        </w:rPr>
      </w:pPr>
      <w:r>
        <w:rPr>
          <w:rFonts w:hint="eastAsia" w:ascii="楷体" w:hAnsi="楷体" w:eastAsia="楷体" w:cs="楷体"/>
          <w:b w:val="0"/>
          <w:bCs w:val="0"/>
          <w:kern w:val="0"/>
          <w:sz w:val="32"/>
          <w:szCs w:val="32"/>
          <w:lang w:val="en-US" w:eastAsia="zh-CN" w:bidi="ar"/>
        </w:rPr>
        <w:t>（三）坚持依法行政，政府行政决策科学规范</w:t>
      </w:r>
    </w:p>
    <w:p w14:paraId="35B259B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严格落实重大行政决策程序。</w:t>
      </w:r>
      <w:r>
        <w:rPr>
          <w:rFonts w:hint="eastAsia" w:ascii="仿宋_GB2312" w:hAnsi="仿宋_GB2312" w:eastAsia="仿宋_GB2312" w:cs="仿宋_GB2312"/>
          <w:color w:val="000000"/>
          <w:spacing w:val="0"/>
          <w:sz w:val="32"/>
          <w:szCs w:val="32"/>
          <w:shd w:val="clear" w:color="auto" w:fill="FFFFFF"/>
          <w:lang w:val="en-US" w:eastAsia="zh-CN"/>
        </w:rPr>
        <w:t>修订《柳北区人民政府工作规则》《柳北区人民政府重大行政决策程序规定》，制定重大行政决策、行政规范性文件及合同合法性审查规范指引，推进政府决策制度化、规范化、法治化。严格执行重大行政决策事项目录标准，强化重大行政决策合法性审核，各级党政机关选聘法律顾问33名、配备公职律师21名，开展行政决策事项等合法性审查295</w:t>
      </w:r>
      <w:bookmarkStart w:id="0" w:name="_GoBack"/>
      <w:bookmarkEnd w:id="0"/>
      <w:r>
        <w:rPr>
          <w:rFonts w:hint="eastAsia" w:ascii="仿宋_GB2312" w:hAnsi="仿宋_GB2312" w:eastAsia="仿宋_GB2312" w:cs="仿宋_GB2312"/>
          <w:color w:val="000000"/>
          <w:spacing w:val="0"/>
          <w:sz w:val="32"/>
          <w:szCs w:val="32"/>
          <w:shd w:val="clear" w:color="auto" w:fill="FFFFFF"/>
          <w:lang w:val="en-US" w:eastAsia="zh-CN"/>
        </w:rPr>
        <w:t>件，区政府常务会议审议事项、重大决策事项合法性审查率100%</w:t>
      </w:r>
      <w:r>
        <w:rPr>
          <w:rFonts w:ascii="宋体" w:hAnsi="宋体" w:eastAsia="宋体" w:cs="宋体"/>
          <w:kern w:val="0"/>
          <w:sz w:val="24"/>
          <w:szCs w:val="24"/>
          <w:lang w:val="en-US" w:eastAsia="zh-CN" w:bidi="ar"/>
        </w:rPr>
        <w:t>。</w:t>
      </w:r>
    </w:p>
    <w:p w14:paraId="27C2EA4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pacing w:val="0"/>
          <w:sz w:val="32"/>
          <w:szCs w:val="32"/>
          <w:shd w:val="clear" w:color="auto" w:fill="FFFFFF"/>
          <w:lang w:val="en-US" w:eastAsia="zh-CN"/>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强化行政规范性文件监管能力。</w:t>
      </w:r>
      <w:r>
        <w:rPr>
          <w:rFonts w:hint="eastAsia" w:ascii="仿宋_GB2312" w:hAnsi="仿宋_GB2312" w:eastAsia="仿宋_GB2312" w:cs="仿宋_GB2312"/>
          <w:color w:val="000000"/>
          <w:spacing w:val="0"/>
          <w:sz w:val="32"/>
          <w:szCs w:val="32"/>
          <w:shd w:val="clear" w:color="auto" w:fill="FFFFFF"/>
          <w:lang w:val="en-US" w:eastAsia="zh-CN"/>
        </w:rPr>
        <w:t>加大行政规范性文件合法性审核和备案监督力度，定期通报备案审查情况，行政规范性文件质效不断提升，全年共审核行政规范性文件3件、备案审查3件。开展涉及不平等对待企业行政规范性、政策文件专项清理，经审查，废止涉企文件4件。</w:t>
      </w:r>
      <w:r>
        <w:rPr>
          <w:rFonts w:hint="eastAsia" w:ascii="仿宋_GB2312" w:hAnsi="仿宋_GB2312" w:eastAsia="仿宋_GB2312" w:cs="仿宋_GB2312"/>
          <w:b w:val="0"/>
          <w:bCs w:val="0"/>
          <w:color w:val="000000"/>
          <w:spacing w:val="0"/>
          <w:kern w:val="2"/>
          <w:sz w:val="32"/>
          <w:szCs w:val="32"/>
          <w:u w:val="none"/>
          <w:lang w:val="en-US" w:eastAsia="zh-CN" w:bidi="ar-SA"/>
        </w:rPr>
        <w:t>开展行政规范性文件合法性审核案卷评查1次，</w:t>
      </w:r>
      <w:r>
        <w:rPr>
          <w:rFonts w:hint="eastAsia" w:ascii="仿宋_GB2312" w:hAnsi="仿宋_GB2312" w:eastAsia="仿宋_GB2312" w:cs="仿宋_GB2312"/>
          <w:color w:val="000000"/>
          <w:spacing w:val="0"/>
          <w:sz w:val="32"/>
          <w:szCs w:val="32"/>
          <w:shd w:val="clear" w:color="auto" w:fill="FFFFFF"/>
          <w:lang w:val="en-US" w:eastAsia="zh-CN"/>
        </w:rPr>
        <w:t>有效维护法制统一、政令畅通。</w:t>
      </w:r>
    </w:p>
    <w:p w14:paraId="0FE2889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val="0"/>
          <w:bCs w:val="0"/>
          <w:kern w:val="0"/>
          <w:sz w:val="32"/>
          <w:szCs w:val="32"/>
          <w:lang w:val="en-US" w:eastAsia="zh-CN" w:bidi="ar"/>
        </w:rPr>
      </w:pPr>
      <w:r>
        <w:rPr>
          <w:rFonts w:hint="eastAsia" w:ascii="楷体" w:hAnsi="楷体" w:eastAsia="楷体" w:cs="楷体"/>
          <w:b w:val="0"/>
          <w:bCs w:val="0"/>
          <w:kern w:val="0"/>
          <w:sz w:val="32"/>
          <w:szCs w:val="32"/>
          <w:lang w:val="en-US" w:eastAsia="zh-CN" w:bidi="ar"/>
        </w:rPr>
        <w:t>（四）坚持规范执法，行政执法质效不断提升</w:t>
      </w:r>
    </w:p>
    <w:p w14:paraId="2BCD2CD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深化行政执法体制改革。</w:t>
      </w:r>
      <w:r>
        <w:rPr>
          <w:rFonts w:hint="eastAsia" w:ascii="仿宋_GB2312" w:hAnsi="仿宋_GB2312" w:eastAsia="仿宋_GB2312" w:cs="仿宋_GB2312"/>
          <w:color w:val="000000"/>
          <w:spacing w:val="0"/>
          <w:sz w:val="32"/>
          <w:szCs w:val="32"/>
          <w:shd w:val="clear" w:color="auto" w:fill="FFFFFF"/>
          <w:lang w:val="en-US" w:eastAsia="zh-CN"/>
        </w:rPr>
        <w:t>组建综合行政执法局，下设综合行政执法大队，将城市管理、自然资源、劳动监察等执法队伍整建制划入综合行政执法大队，形成综合执法优势。</w:t>
      </w:r>
      <w:r>
        <w:rPr>
          <w:rFonts w:hint="eastAsia" w:ascii="Times New Roman" w:hAnsi="Times New Roman" w:eastAsia="仿宋_GB2312" w:cs="Times New Roman"/>
          <w:color w:val="auto"/>
          <w:sz w:val="32"/>
          <w:szCs w:val="32"/>
          <w:highlight w:val="none"/>
          <w:lang w:val="en-US" w:eastAsia="zh-CN"/>
        </w:rPr>
        <w:t>成立</w:t>
      </w:r>
      <w:r>
        <w:rPr>
          <w:rFonts w:hint="default" w:ascii="Times New Roman" w:hAnsi="Times New Roman" w:eastAsia="仿宋_GB2312" w:cs="Times New Roman"/>
          <w:color w:val="auto"/>
          <w:sz w:val="32"/>
          <w:szCs w:val="32"/>
          <w:highlight w:val="none"/>
          <w:lang w:val="en-US" w:eastAsia="zh-CN"/>
        </w:rPr>
        <w:t>农业综合行政执法大队</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应急管理综合行政执法大队</w:t>
      </w:r>
      <w:r>
        <w:rPr>
          <w:rFonts w:hint="eastAsia" w:ascii="Times New Roman" w:hAnsi="Times New Roman" w:eastAsia="仿宋_GB2312" w:cs="Times New Roman"/>
          <w:color w:val="auto"/>
          <w:sz w:val="32"/>
          <w:szCs w:val="32"/>
          <w:highlight w:val="none"/>
          <w:lang w:val="en-US" w:eastAsia="zh-CN"/>
        </w:rPr>
        <w:t>。</w:t>
      </w:r>
      <w:r>
        <w:rPr>
          <w:rFonts w:hint="default" w:ascii="仿宋_GB2312" w:hAnsi="仿宋_GB2312" w:eastAsia="仿宋_GB2312" w:cs="仿宋_GB2312"/>
          <w:color w:val="000000"/>
          <w:spacing w:val="0"/>
          <w:sz w:val="32"/>
          <w:szCs w:val="32"/>
          <w:shd w:val="clear" w:color="auto" w:fill="FFFFFF"/>
          <w:lang w:val="en-US" w:eastAsia="zh-CN"/>
        </w:rPr>
        <w:t>调整完善镇（街道）机构设置和管理体制</w:t>
      </w:r>
      <w:r>
        <w:rPr>
          <w:rFonts w:hint="eastAsia" w:ascii="仿宋_GB2312" w:hAnsi="仿宋_GB2312" w:eastAsia="仿宋_GB2312" w:cs="仿宋_GB2312"/>
          <w:color w:val="000000"/>
          <w:spacing w:val="0"/>
          <w:sz w:val="32"/>
          <w:szCs w:val="32"/>
          <w:shd w:val="clear" w:color="auto" w:fill="FFFFFF"/>
          <w:lang w:val="en-US" w:eastAsia="zh-CN"/>
        </w:rPr>
        <w:t>，设立3个镇综合行政执法队。</w:t>
      </w:r>
      <w:r>
        <w:rPr>
          <w:rFonts w:hint="eastAsia" w:ascii="仿宋_GB2312" w:hAnsi="仿宋_GB2312" w:eastAsia="仿宋_GB2312" w:cs="仿宋_GB2312"/>
          <w:sz w:val="32"/>
          <w:szCs w:val="32"/>
          <w:highlight w:val="none"/>
          <w:lang w:val="en-US" w:eastAsia="zh-CN"/>
        </w:rPr>
        <w:t>建立镇（街道）职责准入制度，</w:t>
      </w:r>
      <w:r>
        <w:rPr>
          <w:rFonts w:hint="eastAsia" w:ascii="仿宋_GB2312" w:hAnsi="仿宋_GB2312" w:eastAsia="仿宋_GB2312" w:cs="仿宋_GB2312"/>
          <w:color w:val="000000"/>
          <w:spacing w:val="0"/>
          <w:sz w:val="32"/>
          <w:szCs w:val="32"/>
          <w:shd w:val="clear" w:color="auto" w:fill="FFFFFF"/>
          <w:lang w:val="en-US" w:eastAsia="zh-CN"/>
        </w:rPr>
        <w:t>开展镇（街道）赋权事项评估工作，已建议收回2项行政许可事项和取消1项行政处罚、1项行政强制事项。</w:t>
      </w:r>
    </w:p>
    <w:p w14:paraId="63DA031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严格规范公正文明执法。</w:t>
      </w:r>
      <w:r>
        <w:rPr>
          <w:rFonts w:hint="eastAsia" w:ascii="仿宋_GB2312" w:hAnsi="仿宋_GB2312" w:eastAsia="仿宋_GB2312" w:cs="仿宋_GB2312"/>
          <w:spacing w:val="0"/>
          <w:sz w:val="32"/>
          <w:szCs w:val="32"/>
          <w:lang w:val="en-US" w:eastAsia="zh-CN"/>
        </w:rPr>
        <w:t>加大重点领域执法，推进“铁拳”“强安”等专项行动，加大食品药品、公共卫生、安全生产等重点领域执法力度。积极探索柔性执法，推行“轻微违法行为依法</w:t>
      </w:r>
      <w:r>
        <w:rPr>
          <w:rFonts w:hint="eastAsia" w:ascii="仿宋_GB2312" w:hAnsi="仿宋_GB2312" w:eastAsia="仿宋_GB2312" w:cs="仿宋_GB2312"/>
          <w:i w:val="0"/>
          <w:iCs w:val="0"/>
          <w:caps w:val="0"/>
          <w:color w:val="auto"/>
          <w:spacing w:val="0"/>
          <w:sz w:val="32"/>
          <w:szCs w:val="32"/>
          <w:highlight w:val="none"/>
          <w:shd w:val="clear" w:color="auto" w:fill="FFFFFF"/>
          <w:vertAlign w:val="baseline"/>
          <w:lang w:val="en-US" w:eastAsia="zh-CN"/>
        </w:rPr>
        <w:t>免予</w:t>
      </w:r>
      <w:r>
        <w:rPr>
          <w:rFonts w:hint="eastAsia" w:ascii="仿宋_GB2312" w:hAnsi="仿宋_GB2312" w:eastAsia="仿宋_GB2312" w:cs="仿宋_GB2312"/>
          <w:spacing w:val="0"/>
          <w:sz w:val="32"/>
          <w:szCs w:val="32"/>
          <w:lang w:val="en-US" w:eastAsia="zh-CN"/>
        </w:rPr>
        <w:t>处罚”全覆盖，制定柔性执法文书范本，推行</w:t>
      </w:r>
      <w:r>
        <w:rPr>
          <w:rFonts w:hint="eastAsia" w:ascii="仿宋_GB2312" w:hAnsi="仿宋_GB2312" w:eastAsia="仿宋_GB2312" w:cs="仿宋_GB2312"/>
          <w:i w:val="0"/>
          <w:iCs w:val="0"/>
          <w:caps w:val="0"/>
          <w:color w:val="auto"/>
          <w:spacing w:val="0"/>
          <w:sz w:val="32"/>
          <w:szCs w:val="32"/>
          <w:highlight w:val="none"/>
          <w:shd w:val="clear" w:color="auto" w:fill="FFFFFF"/>
          <w:vertAlign w:val="baseline"/>
          <w:lang w:val="en-US" w:eastAsia="zh-CN"/>
        </w:rPr>
        <w:t>“简案快办”</w:t>
      </w:r>
      <w:r>
        <w:rPr>
          <w:rFonts w:hint="eastAsia" w:ascii="仿宋_GB2312" w:hAnsi="仿宋_GB2312" w:eastAsia="仿宋_GB2312" w:cs="仿宋_GB2312"/>
          <w:spacing w:val="0"/>
          <w:sz w:val="32"/>
          <w:szCs w:val="32"/>
          <w:lang w:val="en-US" w:eastAsia="zh-CN"/>
        </w:rPr>
        <w:t>“721”工作法等执法方式。强化执法监管，运用“双随机、一公开”，加强部门联合执法，减少执法行为对企业的影响。</w:t>
      </w:r>
    </w:p>
    <w:p w14:paraId="7BA235E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bCs/>
          <w:kern w:val="0"/>
          <w:sz w:val="32"/>
          <w:szCs w:val="32"/>
          <w:lang w:val="en-US" w:eastAsia="zh-CN" w:bidi="ar"/>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强化行政执法能力建设。</w:t>
      </w:r>
      <w:r>
        <w:rPr>
          <w:rFonts w:hint="eastAsia" w:ascii="仿宋_GB2312" w:hAnsi="仿宋_GB2312" w:eastAsia="仿宋_GB2312" w:cs="仿宋_GB2312"/>
          <w:spacing w:val="0"/>
          <w:sz w:val="32"/>
          <w:szCs w:val="32"/>
          <w:lang w:val="en-US" w:eastAsia="zh-CN"/>
        </w:rPr>
        <w:t>把好行政执法人员“入门关”，定期组织执法证申领培训、考试，全年完成152名执法人员执法证件申领和换证工作。开展执法业务培训，以学法培训、执法业务交流培训等方式，举办</w:t>
      </w:r>
      <w:r>
        <w:rPr>
          <w:rFonts w:hint="eastAsia" w:ascii="仿宋_GB2312" w:hAnsi="仿宋_GB2312" w:eastAsia="仿宋_GB2312" w:cs="仿宋_GB2312"/>
          <w:b w:val="0"/>
          <w:bCs/>
          <w:i w:val="0"/>
          <w:caps w:val="0"/>
          <w:color w:val="000000" w:themeColor="text1"/>
          <w:spacing w:val="0"/>
          <w:sz w:val="32"/>
          <w:szCs w:val="32"/>
          <w:shd w:val="clear" w:color="auto" w:fill="FFFFFF"/>
          <w:lang w:val="en-US" w:eastAsia="zh-CN"/>
          <w14:textFill>
            <w14:solidFill>
              <w14:schemeClr w14:val="tx1"/>
            </w14:solidFill>
          </w14:textFill>
        </w:rPr>
        <w:t>行政执法人员</w:t>
      </w:r>
      <w:r>
        <w:rPr>
          <w:rFonts w:hint="eastAsia" w:ascii="仿宋_GB2312" w:hAnsi="仿宋_GB2312" w:eastAsia="仿宋_GB2312" w:cs="仿宋_GB2312"/>
          <w:spacing w:val="0"/>
          <w:sz w:val="32"/>
          <w:szCs w:val="32"/>
          <w:lang w:val="en-US" w:eastAsia="zh-CN"/>
        </w:rPr>
        <w:t>公共法律知识在线培训、</w:t>
      </w:r>
      <w:r>
        <w:rPr>
          <w:rFonts w:hint="eastAsia" w:ascii="仿宋_GB2312" w:hAnsi="仿宋_GB2312" w:eastAsia="仿宋_GB2312" w:cs="仿宋_GB2312"/>
          <w:b w:val="0"/>
          <w:bCs/>
          <w:i w:val="0"/>
          <w:caps w:val="0"/>
          <w:color w:val="000000" w:themeColor="text1"/>
          <w:spacing w:val="0"/>
          <w:sz w:val="32"/>
          <w:szCs w:val="32"/>
          <w:shd w:val="clear" w:color="auto" w:fill="FFFFFF"/>
          <w:lang w:val="en-US" w:eastAsia="zh-CN"/>
          <w14:textFill>
            <w14:solidFill>
              <w14:schemeClr w14:val="tx1"/>
            </w14:solidFill>
          </w14:textFill>
        </w:rPr>
        <w:t>云宣讲集中学习等活动</w:t>
      </w:r>
      <w:r>
        <w:rPr>
          <w:rFonts w:hint="eastAsia" w:ascii="仿宋_GB2312" w:hAnsi="仿宋_GB2312" w:eastAsia="仿宋_GB2312" w:cs="仿宋_GB2312"/>
          <w:spacing w:val="0"/>
          <w:sz w:val="32"/>
          <w:szCs w:val="32"/>
          <w:lang w:val="en-US" w:eastAsia="zh-CN"/>
        </w:rPr>
        <w:t>，完成本年度行政执法人员全覆盖轮训工作。</w:t>
      </w:r>
    </w:p>
    <w:p w14:paraId="51982356">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val="0"/>
          <w:bCs w:val="0"/>
          <w:kern w:val="0"/>
          <w:sz w:val="32"/>
          <w:szCs w:val="32"/>
          <w:lang w:val="en-US" w:eastAsia="zh-CN" w:bidi="ar"/>
        </w:rPr>
      </w:pPr>
      <w:r>
        <w:rPr>
          <w:rFonts w:hint="eastAsia" w:ascii="楷体" w:hAnsi="楷体" w:eastAsia="楷体" w:cs="楷体"/>
          <w:b w:val="0"/>
          <w:bCs w:val="0"/>
          <w:kern w:val="0"/>
          <w:sz w:val="32"/>
          <w:szCs w:val="32"/>
          <w:lang w:val="en-US" w:eastAsia="zh-CN" w:bidi="ar"/>
        </w:rPr>
        <w:t>（五）坚持制约监督，行政权力规范透明运行</w:t>
      </w:r>
    </w:p>
    <w:p w14:paraId="2309A7D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从严强化行政执法监督。</w:t>
      </w:r>
      <w:r>
        <w:rPr>
          <w:rFonts w:hint="eastAsia" w:ascii="仿宋_GB2312" w:hAnsi="仿宋_GB2312" w:eastAsia="仿宋_GB2312" w:cs="仿宋_GB2312"/>
          <w:b w:val="0"/>
          <w:bCs w:val="0"/>
          <w:color w:val="000000"/>
          <w:spacing w:val="0"/>
          <w:kern w:val="2"/>
          <w:sz w:val="32"/>
          <w:szCs w:val="32"/>
          <w:u w:val="none"/>
          <w:lang w:val="en-US" w:eastAsia="zh-CN" w:bidi="ar-SA"/>
        </w:rPr>
        <w:t>推动建立城区、镇（街道）两级</w:t>
      </w:r>
      <w:r>
        <w:rPr>
          <w:rFonts w:hint="eastAsia" w:ascii="仿宋_GB2312" w:hAnsi="仿宋_GB2312" w:eastAsia="仿宋_GB2312" w:cs="仿宋_GB2312"/>
          <w:i w:val="0"/>
          <w:caps w:val="0"/>
          <w:color w:val="000000"/>
          <w:spacing w:val="0"/>
          <w:sz w:val="32"/>
          <w:szCs w:val="32"/>
          <w:shd w:val="clear" w:color="auto" w:fill="FFFFFF"/>
          <w:lang w:val="en-US" w:eastAsia="zh-CN"/>
        </w:rPr>
        <w:t>行政执法协调监督工作体系，</w:t>
      </w:r>
      <w:r>
        <w:rPr>
          <w:rFonts w:hint="eastAsia" w:ascii="仿宋_GB2312" w:hAnsi="仿宋_GB2312" w:eastAsia="仿宋_GB2312" w:cs="仿宋_GB2312"/>
          <w:spacing w:val="0"/>
          <w:sz w:val="32"/>
          <w:szCs w:val="32"/>
          <w:lang w:val="en-US" w:eastAsia="zh-CN"/>
        </w:rPr>
        <w:t>启用柳北区人民政府行政执法协调监督局印章，</w:t>
      </w:r>
      <w:r>
        <w:rPr>
          <w:rFonts w:hint="eastAsia" w:ascii="仿宋_GB2312" w:hAnsi="仿宋_GB2312" w:eastAsia="仿宋_GB2312" w:cs="仿宋_GB2312"/>
          <w:i w:val="0"/>
          <w:caps w:val="0"/>
          <w:color w:val="000000"/>
          <w:spacing w:val="0"/>
          <w:sz w:val="32"/>
          <w:szCs w:val="32"/>
          <w:shd w:val="clear" w:color="auto" w:fill="FFFFFF"/>
          <w:lang w:val="en-US" w:eastAsia="zh-CN"/>
        </w:rPr>
        <w:t>依托司法所设立镇（街道）行政执法协调监督办公室。扎实开展行政执法领域突出问题和规范乱罚款问题专项治理及监督行动</w:t>
      </w:r>
      <w:r>
        <w:rPr>
          <w:rFonts w:hint="eastAsia" w:ascii="仿宋_GB2312" w:hAnsi="仿宋_GB2312" w:eastAsia="仿宋_GB2312" w:cs="仿宋_GB2312"/>
          <w:b w:val="0"/>
          <w:bCs/>
          <w:i w:val="0"/>
          <w:caps w:val="0"/>
          <w:color w:val="000000" w:themeColor="text1"/>
          <w:spacing w:val="0"/>
          <w:sz w:val="32"/>
          <w:szCs w:val="32"/>
          <w:shd w:val="clear" w:color="auto" w:fill="FFFFFF"/>
          <w:lang w:val="en-US" w:eastAsia="zh-CN"/>
          <w14:textFill>
            <w14:solidFill>
              <w14:schemeClr w14:val="tx1"/>
            </w14:solidFill>
          </w14:textFill>
        </w:rPr>
        <w:t>，整治突出问题5个。开展行政执法案卷集中评查1</w:t>
      </w:r>
      <w:r>
        <w:rPr>
          <w:rFonts w:hint="eastAsia" w:ascii="Times New Roman" w:hAnsi="Times New Roman" w:eastAsia="仿宋_GB2312" w:cs="Times New Roman"/>
          <w:bCs/>
          <w:sz w:val="32"/>
          <w:szCs w:val="32"/>
        </w:rPr>
        <w:t>批次</w:t>
      </w:r>
      <w:r>
        <w:rPr>
          <w:rFonts w:hint="eastAsia" w:ascii="Times New Roman" w:hAnsi="Times New Roman" w:eastAsia="仿宋_GB2312" w:cs="Times New Roman"/>
          <w:bCs/>
          <w:sz w:val="32"/>
          <w:szCs w:val="32"/>
          <w:lang w:eastAsia="zh-CN"/>
        </w:rPr>
        <w:t>。</w:t>
      </w:r>
    </w:p>
    <w:p w14:paraId="34D9BBF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bCs/>
          <w:kern w:val="0"/>
          <w:sz w:val="32"/>
          <w:szCs w:val="32"/>
          <w:lang w:val="en-US" w:eastAsia="zh-CN" w:bidi="ar"/>
        </w:rPr>
      </w:pP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加强行政权力制约监督。</w:t>
      </w:r>
      <w:r>
        <w:rPr>
          <w:rFonts w:hint="eastAsia" w:ascii="Times New Roman" w:hAnsi="Times New Roman" w:eastAsia="仿宋_GB2312" w:cs="Times New Roman"/>
          <w:bCs/>
          <w:sz w:val="32"/>
          <w:szCs w:val="32"/>
        </w:rPr>
        <w:t>自觉接受</w:t>
      </w:r>
      <w:r>
        <w:rPr>
          <w:rFonts w:hint="eastAsia" w:ascii="Times New Roman" w:hAnsi="Times New Roman" w:eastAsia="仿宋_GB2312" w:cs="Times New Roman"/>
          <w:bCs/>
          <w:sz w:val="32"/>
          <w:szCs w:val="32"/>
          <w:lang w:eastAsia="zh-CN"/>
        </w:rPr>
        <w:t>区</w:t>
      </w:r>
      <w:r>
        <w:rPr>
          <w:rFonts w:hint="eastAsia" w:ascii="Times New Roman" w:hAnsi="Times New Roman" w:eastAsia="仿宋_GB2312" w:cs="Times New Roman"/>
          <w:bCs/>
          <w:sz w:val="32"/>
          <w:szCs w:val="32"/>
        </w:rPr>
        <w:t>人大及其常委会依法监督、</w:t>
      </w:r>
      <w:r>
        <w:rPr>
          <w:rFonts w:hint="eastAsia" w:ascii="Times New Roman" w:hAnsi="Times New Roman" w:eastAsia="仿宋_GB2312" w:cs="Times New Roman"/>
          <w:bCs/>
          <w:sz w:val="32"/>
          <w:szCs w:val="32"/>
          <w:lang w:eastAsia="zh-CN"/>
        </w:rPr>
        <w:t>区</w:t>
      </w:r>
      <w:r>
        <w:rPr>
          <w:rFonts w:hint="eastAsia" w:ascii="仿宋_GB2312" w:hAnsi="仿宋_GB2312" w:eastAsia="仿宋_GB2312" w:cs="仿宋_GB2312"/>
          <w:b w:val="0"/>
          <w:kern w:val="0"/>
          <w:sz w:val="32"/>
          <w:szCs w:val="32"/>
          <w:lang w:val="en-US" w:eastAsia="zh-CN" w:bidi="ar"/>
        </w:rPr>
        <w:t>政协民主监督，办理人大代表建议61件，办理政协提案41件，办理满意率均为100%。</w:t>
      </w:r>
      <w:r>
        <w:rPr>
          <w:rFonts w:hint="eastAsia" w:ascii="仿宋_GB2312" w:hAnsi="仿宋_GB2312" w:eastAsia="仿宋_GB2312" w:cs="仿宋_GB2312"/>
          <w:color w:val="auto"/>
          <w:sz w:val="32"/>
          <w:szCs w:val="32"/>
          <w:lang w:val="en-US" w:eastAsia="zh-CN"/>
        </w:rPr>
        <w:t>积极发挥审计监督作用，组织实施审计项目6个</w:t>
      </w:r>
      <w:r>
        <w:rPr>
          <w:rFonts w:hint="eastAsia" w:ascii="仿宋_GB2312" w:hAnsi="仿宋_GB2312" w:eastAsia="仿宋_GB2312" w:cs="仿宋_GB2312"/>
          <w:sz w:val="32"/>
          <w:szCs w:val="32"/>
          <w:lang w:val="en-US" w:eastAsia="zh-CN"/>
        </w:rPr>
        <w:t>，审计发现问题53个，涉及问题金额1693.5万元。</w:t>
      </w:r>
      <w:r>
        <w:rPr>
          <w:rFonts w:hint="eastAsia" w:ascii="仿宋_GB2312" w:hAnsi="仿宋_GB2312" w:eastAsia="仿宋_GB2312" w:cs="仿宋_GB2312"/>
          <w:b w:val="0"/>
          <w:kern w:val="0"/>
          <w:sz w:val="32"/>
          <w:szCs w:val="32"/>
          <w:lang w:val="en-US" w:eastAsia="zh-CN" w:bidi="ar"/>
        </w:rPr>
        <w:t>加强统计法治宣传和执法监督，大力推进依法统计、依法治统。大力推进政务公开，依法答复依申请公开政府信息事项41件。</w:t>
      </w:r>
    </w:p>
    <w:p w14:paraId="7F5D4C9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val="0"/>
          <w:bCs w:val="0"/>
          <w:kern w:val="0"/>
          <w:sz w:val="32"/>
          <w:szCs w:val="32"/>
          <w:lang w:val="en-US" w:eastAsia="zh-CN" w:bidi="ar"/>
        </w:rPr>
      </w:pPr>
      <w:r>
        <w:rPr>
          <w:rFonts w:hint="eastAsia" w:ascii="楷体" w:hAnsi="楷体" w:eastAsia="楷体" w:cs="楷体"/>
          <w:b w:val="0"/>
          <w:bCs w:val="0"/>
          <w:kern w:val="0"/>
          <w:sz w:val="32"/>
          <w:szCs w:val="32"/>
          <w:lang w:val="en-US" w:eastAsia="zh-CN" w:bidi="ar"/>
        </w:rPr>
        <w:t>（六）坚持多元共治，社会大局保持和谐稳定</w:t>
      </w:r>
    </w:p>
    <w:p w14:paraId="2292C7C6">
      <w:pPr>
        <w:keepNext w:val="0"/>
        <w:keepLines w:val="0"/>
        <w:pageBreakBefore w:val="0"/>
        <w:widowControl w:val="0"/>
        <w:kinsoku/>
        <w:wordWrap/>
        <w:overflowPunct/>
        <w:topLinePunct w:val="0"/>
        <w:autoSpaceDE/>
        <w:autoSpaceDN/>
        <w:bidi w:val="0"/>
        <w:adjustRightInd/>
        <w:snapToGrid/>
        <w:spacing w:line="560" w:lineRule="exact"/>
        <w:ind w:left="0" w:leftChars="0" w:right="0" w:firstLine="632" w:firstLineChars="200"/>
        <w:jc w:val="both"/>
        <w:textAlignment w:val="auto"/>
        <w:outlineLvl w:val="9"/>
        <w:rPr>
          <w:rFonts w:hint="eastAsia" w:ascii="仿宋_GB2312" w:hAnsi="仿宋_GB2312" w:eastAsia="仿宋_GB2312" w:cs="仿宋_GB2312"/>
          <w:color w:val="auto"/>
          <w:spacing w:val="0"/>
          <w:kern w:val="2"/>
          <w:sz w:val="32"/>
          <w:szCs w:val="32"/>
          <w:highlight w:val="none"/>
          <w:u w:val="none"/>
          <w:lang w:val="en-US" w:eastAsia="zh-CN" w:bidi="zh-CN"/>
        </w:rPr>
      </w:pPr>
      <w:r>
        <w:rPr>
          <w:rFonts w:hint="eastAsia" w:ascii="仿宋_GB2312" w:hAnsi="仿宋_GB2312" w:eastAsia="仿宋_GB2312" w:cs="仿宋_GB2312"/>
          <w:b/>
          <w:bCs/>
          <w:i w:val="0"/>
          <w:caps w:val="0"/>
          <w:color w:val="000000" w:themeColor="text1"/>
          <w:spacing w:val="0"/>
          <w:kern w:val="2"/>
          <w:sz w:val="32"/>
          <w:szCs w:val="32"/>
          <w:shd w:val="clear" w:color="auto" w:fill="FFFFFF"/>
          <w:lang w:val="en-US" w:eastAsia="zh-CN" w:bidi="ar-SA"/>
          <w14:textFill>
            <w14:solidFill>
              <w14:schemeClr w14:val="tx1"/>
            </w14:solidFill>
          </w14:textFill>
        </w:rPr>
        <w:t>筑牢社会稳定防线。</w:t>
      </w:r>
      <w:r>
        <w:rPr>
          <w:rFonts w:hint="eastAsia" w:ascii="仿宋_GB2312" w:hAnsi="仿宋_GB2312" w:eastAsia="仿宋_GB2312" w:cs="仿宋_GB2312"/>
          <w:b w:val="0"/>
          <w:bCs w:val="0"/>
          <w:color w:val="000000"/>
          <w:spacing w:val="0"/>
          <w:sz w:val="32"/>
          <w:szCs w:val="32"/>
          <w:lang w:val="en-US" w:eastAsia="zh-CN"/>
        </w:rPr>
        <w:t>区委常委会、区政府常务会坚持每季度专题研究维稳工作。</w:t>
      </w:r>
      <w:r>
        <w:rPr>
          <w:rFonts w:hint="eastAsia" w:ascii="仿宋_GB2312" w:hAnsi="仿宋_GB2312" w:eastAsia="仿宋_GB2312" w:cs="仿宋_GB2312"/>
          <w:spacing w:val="0"/>
          <w:sz w:val="32"/>
          <w:szCs w:val="32"/>
          <w:lang w:val="en-US" w:eastAsia="zh-CN"/>
        </w:rPr>
        <w:t>打造</w:t>
      </w:r>
      <w:r>
        <w:rPr>
          <w:rFonts w:hint="eastAsia" w:ascii="仿宋_GB2312" w:hAnsi="仿宋_GB2312" w:eastAsia="仿宋_GB2312" w:cs="仿宋_GB2312"/>
          <w:b w:val="0"/>
          <w:color w:val="000000" w:themeColor="text1"/>
          <w:spacing w:val="0"/>
          <w:kern w:val="0"/>
          <w:sz w:val="32"/>
          <w:szCs w:val="32"/>
          <w:lang w:val="en-US" w:eastAsia="zh-CN" w:bidi="ar"/>
          <w14:textFill>
            <w14:solidFill>
              <w14:schemeClr w14:val="tx1"/>
            </w14:solidFill>
          </w14:textFill>
        </w:rPr>
        <w:t>“一站式”矛盾纠纷调处中心，</w:t>
      </w:r>
      <w:r>
        <w:rPr>
          <w:rFonts w:hint="eastAsia" w:ascii="仿宋_GB2312" w:hAnsi="仿宋_GB2312" w:eastAsia="仿宋_GB2312" w:cs="仿宋_GB2312"/>
          <w:spacing w:val="0"/>
          <w:sz w:val="32"/>
          <w:szCs w:val="32"/>
          <w:lang w:val="en-US" w:eastAsia="zh-CN"/>
        </w:rPr>
        <w:t>实现政法各单位和职能部门的横向联动。</w:t>
      </w:r>
      <w:r>
        <w:rPr>
          <w:rFonts w:hint="eastAsia" w:ascii="仿宋_GB2312" w:hAnsi="仿宋_GB2312" w:eastAsia="仿宋_GB2312" w:cs="仿宋_GB2312"/>
          <w:color w:val="auto"/>
          <w:spacing w:val="0"/>
          <w:sz w:val="32"/>
          <w:szCs w:val="32"/>
          <w:lang w:val="en-US" w:eastAsia="zh-CN"/>
        </w:rPr>
        <w:t>推动“321”工作法广泛运用</w:t>
      </w:r>
      <w:r>
        <w:rPr>
          <w:rFonts w:hint="eastAsia" w:ascii="仿宋_GB2312" w:hAnsi="仿宋_GB2312" w:eastAsia="仿宋_GB2312" w:cs="仿宋_GB2312"/>
          <w:color w:val="000000"/>
          <w:spacing w:val="0"/>
          <w:sz w:val="32"/>
          <w:szCs w:val="32"/>
          <w:shd w:val="clear" w:color="auto" w:fill="FFFFFF"/>
          <w:lang w:val="en-US" w:eastAsia="zh-CN"/>
        </w:rPr>
        <w:t>，发挥“三官一律”、</w:t>
      </w:r>
      <w:r>
        <w:rPr>
          <w:rFonts w:hint="eastAsia" w:ascii="仿宋_GB2312" w:hAnsi="仿宋_GB2312" w:eastAsia="仿宋_GB2312" w:cs="仿宋_GB2312"/>
          <w:b w:val="0"/>
          <w:color w:val="000000" w:themeColor="text1"/>
          <w:spacing w:val="0"/>
          <w:kern w:val="0"/>
          <w:sz w:val="32"/>
          <w:szCs w:val="32"/>
          <w:lang w:val="en-US" w:eastAsia="zh-CN" w:bidi="ar"/>
          <w14:textFill>
            <w14:solidFill>
              <w14:schemeClr w14:val="tx1"/>
            </w14:solidFill>
          </w14:textFill>
        </w:rPr>
        <w:t>陈卫明调解工作室</w:t>
      </w:r>
      <w:r>
        <w:rPr>
          <w:rFonts w:hint="eastAsia" w:ascii="仿宋_GB2312" w:hAnsi="仿宋_GB2312" w:eastAsia="仿宋_GB2312" w:cs="仿宋_GB2312"/>
          <w:color w:val="000000"/>
          <w:spacing w:val="0"/>
          <w:sz w:val="32"/>
          <w:szCs w:val="32"/>
          <w:shd w:val="clear" w:color="auto" w:fill="FFFFFF"/>
          <w:lang w:val="en-US" w:eastAsia="zh-CN"/>
        </w:rPr>
        <w:t>作用，</w:t>
      </w:r>
      <w:r>
        <w:rPr>
          <w:rFonts w:hint="eastAsia" w:ascii="仿宋_GB2312" w:hAnsi="仿宋_GB2312" w:eastAsia="仿宋_GB2312" w:cs="仿宋_GB2312"/>
          <w:spacing w:val="0"/>
          <w:sz w:val="32"/>
          <w:szCs w:val="32"/>
          <w:lang w:val="en-US" w:eastAsia="zh-CN"/>
        </w:rPr>
        <w:t>打造“诉访分离+访调对接”平台，</w:t>
      </w:r>
      <w:r>
        <w:rPr>
          <w:rFonts w:hint="eastAsia" w:ascii="仿宋_GB2312" w:hAnsi="仿宋_GB2312" w:eastAsia="仿宋_GB2312" w:cs="仿宋_GB2312"/>
          <w:color w:val="000000"/>
          <w:spacing w:val="0"/>
          <w:sz w:val="32"/>
          <w:szCs w:val="32"/>
          <w:shd w:val="clear" w:color="auto" w:fill="FFFFFF"/>
          <w:lang w:val="en-US" w:eastAsia="zh-CN"/>
        </w:rPr>
        <w:t>推进婚恋家庭、邻里、债务等矛盾纠纷源头预防和前端化解。至目前，</w:t>
      </w:r>
      <w:r>
        <w:rPr>
          <w:rFonts w:hint="eastAsia" w:ascii="仿宋_GB2312" w:hAnsi="仿宋_GB2312" w:eastAsia="仿宋_GB2312" w:cs="仿宋_GB2312"/>
          <w:color w:val="auto"/>
          <w:spacing w:val="0"/>
          <w:sz w:val="32"/>
          <w:szCs w:val="32"/>
          <w:highlight w:val="none"/>
          <w:u w:val="none"/>
        </w:rPr>
        <w:t>排查各类矛盾纠纷</w:t>
      </w:r>
      <w:r>
        <w:rPr>
          <w:rFonts w:hint="eastAsia" w:ascii="仿宋_GB2312" w:hAnsi="仿宋_GB2312" w:eastAsia="仿宋_GB2312" w:cs="仿宋_GB2312"/>
          <w:color w:val="auto"/>
          <w:spacing w:val="0"/>
          <w:sz w:val="32"/>
          <w:szCs w:val="32"/>
          <w:highlight w:val="none"/>
          <w:u w:val="none"/>
          <w:lang w:val="en-US" w:eastAsia="zh-CN"/>
        </w:rPr>
        <w:t>801</w:t>
      </w:r>
      <w:r>
        <w:rPr>
          <w:rFonts w:hint="eastAsia" w:ascii="仿宋_GB2312" w:hAnsi="仿宋_GB2312" w:eastAsia="仿宋_GB2312" w:cs="仿宋_GB2312"/>
          <w:color w:val="auto"/>
          <w:spacing w:val="0"/>
          <w:sz w:val="32"/>
          <w:szCs w:val="32"/>
          <w:highlight w:val="none"/>
          <w:u w:val="none"/>
        </w:rPr>
        <w:t>件，调解成功</w:t>
      </w:r>
      <w:r>
        <w:rPr>
          <w:rFonts w:hint="eastAsia" w:ascii="仿宋_GB2312" w:hAnsi="仿宋_GB2312" w:eastAsia="仿宋_GB2312" w:cs="仿宋_GB2312"/>
          <w:color w:val="auto"/>
          <w:spacing w:val="0"/>
          <w:sz w:val="32"/>
          <w:szCs w:val="32"/>
          <w:highlight w:val="none"/>
          <w:u w:val="none"/>
          <w:lang w:val="en-US" w:eastAsia="zh-CN"/>
        </w:rPr>
        <w:t>792</w:t>
      </w:r>
      <w:r>
        <w:rPr>
          <w:rFonts w:hint="eastAsia" w:ascii="仿宋_GB2312" w:hAnsi="仿宋_GB2312" w:eastAsia="仿宋_GB2312" w:cs="仿宋_GB2312"/>
          <w:color w:val="auto"/>
          <w:spacing w:val="0"/>
          <w:sz w:val="32"/>
          <w:szCs w:val="32"/>
          <w:highlight w:val="none"/>
          <w:u w:val="none"/>
          <w:lang w:eastAsia="zh-CN"/>
        </w:rPr>
        <w:t>件</w:t>
      </w:r>
      <w:r>
        <w:rPr>
          <w:rFonts w:hint="eastAsia" w:ascii="仿宋_GB2312" w:hAnsi="仿宋_GB2312" w:eastAsia="仿宋_GB2312" w:cs="仿宋_GB2312"/>
          <w:color w:val="auto"/>
          <w:spacing w:val="0"/>
          <w:sz w:val="32"/>
          <w:szCs w:val="32"/>
          <w:highlight w:val="none"/>
          <w:u w:val="none"/>
        </w:rPr>
        <w:t>，成功率98.</w:t>
      </w:r>
      <w:r>
        <w:rPr>
          <w:rFonts w:hint="eastAsia" w:ascii="仿宋_GB2312" w:hAnsi="仿宋_GB2312" w:eastAsia="仿宋_GB2312" w:cs="仿宋_GB2312"/>
          <w:color w:val="auto"/>
          <w:spacing w:val="0"/>
          <w:sz w:val="32"/>
          <w:szCs w:val="32"/>
          <w:highlight w:val="none"/>
          <w:u w:val="none"/>
          <w:lang w:val="en-US" w:eastAsia="zh-CN"/>
        </w:rPr>
        <w:t>88</w:t>
      </w:r>
      <w:r>
        <w:rPr>
          <w:rFonts w:hint="eastAsia" w:ascii="仿宋_GB2312" w:hAnsi="仿宋_GB2312" w:eastAsia="仿宋_GB2312" w:cs="仿宋_GB2312"/>
          <w:color w:val="auto"/>
          <w:spacing w:val="0"/>
          <w:sz w:val="32"/>
          <w:szCs w:val="32"/>
          <w:highlight w:val="none"/>
          <w:u w:val="none"/>
        </w:rPr>
        <w:t>%，</w:t>
      </w:r>
      <w:r>
        <w:rPr>
          <w:rFonts w:hint="eastAsia" w:ascii="仿宋_GB2312" w:hAnsi="仿宋_GB2312" w:eastAsia="仿宋_GB2312" w:cs="仿宋_GB2312"/>
          <w:color w:val="auto"/>
          <w:spacing w:val="0"/>
          <w:sz w:val="32"/>
          <w:szCs w:val="32"/>
          <w:highlight w:val="none"/>
          <w:u w:val="none"/>
          <w:lang w:val="en-US" w:eastAsia="zh-CN"/>
        </w:rPr>
        <w:t>未</w:t>
      </w:r>
      <w:r>
        <w:rPr>
          <w:rFonts w:hint="eastAsia" w:ascii="仿宋_GB2312" w:hAnsi="仿宋_GB2312" w:eastAsia="仿宋_GB2312" w:cs="仿宋_GB2312"/>
          <w:color w:val="auto"/>
          <w:spacing w:val="0"/>
          <w:sz w:val="32"/>
          <w:szCs w:val="32"/>
          <w:highlight w:val="none"/>
          <w:u w:val="none"/>
        </w:rPr>
        <w:t>发生“民转刑”案（事）件</w:t>
      </w:r>
      <w:r>
        <w:rPr>
          <w:rFonts w:hint="eastAsia" w:ascii="仿宋_GB2312" w:hAnsi="仿宋_GB2312" w:eastAsia="仿宋_GB2312" w:cs="仿宋_GB2312"/>
          <w:color w:val="auto"/>
          <w:spacing w:val="0"/>
          <w:sz w:val="32"/>
          <w:szCs w:val="32"/>
          <w:highlight w:val="none"/>
          <w:u w:val="none"/>
          <w:lang w:eastAsia="zh-CN"/>
        </w:rPr>
        <w:t>。</w:t>
      </w:r>
    </w:p>
    <w:p w14:paraId="354B0B36">
      <w:pPr>
        <w:keepNext w:val="0"/>
        <w:keepLines w:val="0"/>
        <w:pageBreakBefore w:val="0"/>
        <w:widowControl w:val="0"/>
        <w:kinsoku/>
        <w:wordWrap/>
        <w:overflowPunct/>
        <w:topLinePunct w:val="0"/>
        <w:autoSpaceDE/>
        <w:autoSpaceDN/>
        <w:bidi w:val="0"/>
        <w:adjustRightInd/>
        <w:snapToGrid/>
        <w:spacing w:line="560" w:lineRule="exact"/>
        <w:ind w:left="0" w:leftChars="0" w:right="0" w:firstLine="632" w:firstLineChars="200"/>
        <w:jc w:val="both"/>
        <w:textAlignment w:val="auto"/>
        <w:outlineLvl w:val="9"/>
        <w:rPr>
          <w:rFonts w:hint="eastAsia" w:ascii="楷体" w:hAnsi="楷体" w:eastAsia="楷体" w:cs="楷体"/>
          <w:b/>
          <w:bCs/>
          <w:kern w:val="0"/>
          <w:sz w:val="32"/>
          <w:szCs w:val="32"/>
          <w:lang w:val="en-US" w:eastAsia="zh-CN" w:bidi="ar"/>
        </w:rPr>
      </w:pPr>
      <w:r>
        <w:rPr>
          <w:rFonts w:hint="eastAsia" w:ascii="仿宋_GB2312" w:hAnsi="仿宋_GB2312" w:eastAsia="仿宋_GB2312" w:cs="仿宋_GB2312"/>
          <w:b/>
          <w:bCs/>
          <w:i w:val="0"/>
          <w:color w:val="000000" w:themeColor="text1"/>
          <w:spacing w:val="0"/>
          <w:kern w:val="2"/>
          <w:sz w:val="32"/>
          <w:szCs w:val="32"/>
          <w:shd w:val="clear" w:color="auto" w:fill="FFFFFF"/>
          <w:lang w:val="en-US" w:eastAsia="zh-CN" w:bidi="ar-SA"/>
          <w14:textFill>
            <w14:solidFill>
              <w14:schemeClr w14:val="tx1"/>
            </w14:solidFill>
          </w14:textFill>
        </w:rPr>
        <w:t>实质化解行政争议。</w:t>
      </w:r>
      <w:r>
        <w:rPr>
          <w:rFonts w:hint="eastAsia" w:ascii="仿宋_GB2312" w:hAnsi="仿宋_GB2312" w:eastAsia="仿宋_GB2312" w:cs="仿宋_GB2312"/>
          <w:color w:val="000000" w:themeColor="text1"/>
          <w:spacing w:val="0"/>
          <w:sz w:val="32"/>
          <w:szCs w:val="22"/>
          <w:lang w:val="en-US" w:eastAsia="zh-CN"/>
          <w14:textFill>
            <w14:solidFill>
              <w14:schemeClr w14:val="tx1"/>
            </w14:solidFill>
          </w14:textFill>
        </w:rPr>
        <w:t>发挥行政复议化解行政争议主渠道作用，</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设立涉企行政复议服务点1个，</w:t>
      </w:r>
      <w:r>
        <w:rPr>
          <w:rFonts w:hint="eastAsia" w:ascii="仿宋_GB2312" w:hAnsi="仿宋_GB2312" w:eastAsia="仿宋_GB2312" w:cs="仿宋_GB2312"/>
          <w:color w:val="000000" w:themeColor="text1"/>
          <w:spacing w:val="0"/>
          <w:sz w:val="32"/>
          <w:szCs w:val="22"/>
          <w:lang w:val="en-US" w:eastAsia="zh-CN"/>
          <w14:textFill>
            <w14:solidFill>
              <w14:schemeClr w14:val="tx1"/>
            </w14:solidFill>
          </w14:textFill>
        </w:rPr>
        <w:t>畅通“线上+线下”受理渠道。至目前，</w:t>
      </w:r>
      <w:r>
        <w:rPr>
          <w:rFonts w:hint="eastAsia" w:ascii="仿宋_GB2312" w:hAnsi="仿宋_GB2312" w:eastAsia="仿宋_GB2312" w:cs="仿宋_GB2312"/>
          <w:spacing w:val="0"/>
          <w:sz w:val="32"/>
          <w:szCs w:val="32"/>
        </w:rPr>
        <w:t>收到行政复议申请</w:t>
      </w:r>
      <w:r>
        <w:rPr>
          <w:rFonts w:hint="eastAsia" w:ascii="仿宋_GB2312" w:hAnsi="仿宋_GB2312" w:eastAsia="仿宋_GB2312" w:cs="仿宋_GB2312"/>
          <w:spacing w:val="0"/>
          <w:sz w:val="32"/>
          <w:szCs w:val="32"/>
          <w:lang w:val="en-US" w:eastAsia="zh-CN"/>
        </w:rPr>
        <w:t>98</w:t>
      </w:r>
      <w:r>
        <w:rPr>
          <w:rFonts w:hint="eastAsia" w:ascii="仿宋_GB2312" w:hAnsi="仿宋_GB2312" w:eastAsia="仿宋_GB2312" w:cs="仿宋_GB2312"/>
          <w:spacing w:val="0"/>
          <w:sz w:val="32"/>
          <w:szCs w:val="32"/>
        </w:rPr>
        <w:t>件，受理</w:t>
      </w:r>
      <w:r>
        <w:rPr>
          <w:rFonts w:hint="eastAsia" w:ascii="仿宋_GB2312" w:hAnsi="仿宋_GB2312" w:eastAsia="仿宋_GB2312" w:cs="仿宋_GB2312"/>
          <w:spacing w:val="0"/>
          <w:sz w:val="32"/>
          <w:szCs w:val="32"/>
          <w:lang w:val="en-US" w:eastAsia="zh-CN"/>
        </w:rPr>
        <w:t>93</w:t>
      </w:r>
      <w:r>
        <w:rPr>
          <w:rFonts w:hint="eastAsia" w:ascii="仿宋_GB2312" w:hAnsi="仿宋_GB2312" w:eastAsia="仿宋_GB2312" w:cs="仿宋_GB2312"/>
          <w:spacing w:val="0"/>
          <w:sz w:val="32"/>
          <w:szCs w:val="32"/>
        </w:rPr>
        <w:t>件，</w:t>
      </w:r>
      <w:r>
        <w:rPr>
          <w:rFonts w:hint="eastAsia" w:ascii="仿宋_GB2312" w:hAnsi="仿宋_GB2312" w:eastAsia="仿宋_GB2312" w:cs="仿宋_GB2312"/>
          <w:spacing w:val="0"/>
          <w:sz w:val="32"/>
          <w:szCs w:val="32"/>
          <w:lang w:eastAsia="zh-CN"/>
        </w:rPr>
        <w:t>同比增长</w:t>
      </w:r>
      <w:r>
        <w:rPr>
          <w:rFonts w:hint="eastAsia" w:ascii="仿宋_GB2312" w:hAnsi="仿宋_GB2312" w:eastAsia="仿宋_GB2312" w:cs="仿宋_GB2312"/>
          <w:spacing w:val="0"/>
          <w:sz w:val="32"/>
          <w:szCs w:val="32"/>
          <w:lang w:val="en-US" w:eastAsia="zh-CN"/>
        </w:rPr>
        <w:t>36.11%</w:t>
      </w:r>
      <w:r>
        <w:rPr>
          <w:rFonts w:hint="eastAsia" w:ascii="仿宋_GB2312" w:hAnsi="仿宋_GB2312" w:eastAsia="仿宋_GB2312" w:cs="仿宋_GB2312"/>
          <w:spacing w:val="0"/>
          <w:sz w:val="32"/>
          <w:szCs w:val="32"/>
        </w:rPr>
        <w:t>。</w:t>
      </w:r>
      <w:r>
        <w:rPr>
          <w:rFonts w:hint="eastAsia" w:ascii="仿宋_GB2312" w:hAnsi="仿宋_GB2312" w:eastAsia="仿宋_GB2312" w:cs="仿宋_GB2312"/>
          <w:color w:val="000000" w:themeColor="text1"/>
          <w:spacing w:val="0"/>
          <w:sz w:val="32"/>
          <w:szCs w:val="22"/>
          <w:lang w:val="en-US" w:eastAsia="zh-CN"/>
          <w14:textFill>
            <w14:solidFill>
              <w14:schemeClr w14:val="tx1"/>
            </w14:solidFill>
          </w14:textFill>
        </w:rPr>
        <w:t>建立健全行政诉讼“庭前提醒+庭后通报”机制，至目前，办理以区政府为被告的行政诉讼案件55件，指导、督促以镇（街道）和部门为被告的行政案件49件，行政负责人出庭应诉率为100%。</w:t>
      </w:r>
    </w:p>
    <w:p w14:paraId="37654729">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themeColor="text1"/>
          <w:spacing w:val="0"/>
          <w:sz w:val="32"/>
          <w:szCs w:val="22"/>
          <w:lang w:val="en-US" w:eastAsia="zh-CN"/>
          <w14:textFill>
            <w14:solidFill>
              <w14:schemeClr w14:val="tx1"/>
            </w14:solidFill>
          </w14:textFill>
        </w:rPr>
      </w:pPr>
      <w:r>
        <w:rPr>
          <w:rFonts w:hint="eastAsia" w:ascii="仿宋_GB2312" w:hAnsi="仿宋_GB2312" w:eastAsia="仿宋_GB2312" w:cs="仿宋_GB2312"/>
          <w:b/>
          <w:bCs/>
          <w:kern w:val="0"/>
          <w:sz w:val="32"/>
          <w:szCs w:val="32"/>
          <w:lang w:val="en-US" w:eastAsia="zh-CN" w:bidi="ar"/>
        </w:rPr>
        <w:t>提高应急管理能力。</w:t>
      </w:r>
      <w:r>
        <w:rPr>
          <w:rFonts w:hint="eastAsia" w:ascii="仿宋_GB2312" w:hAnsi="仿宋_GB2312" w:eastAsia="仿宋_GB2312" w:cs="仿宋_GB2312"/>
          <w:color w:val="000000" w:themeColor="text1"/>
          <w:spacing w:val="0"/>
          <w:sz w:val="32"/>
          <w:szCs w:val="22"/>
          <w:lang w:val="en-US" w:eastAsia="zh-CN"/>
          <w14:textFill>
            <w14:solidFill>
              <w14:schemeClr w14:val="tx1"/>
            </w14:solidFill>
          </w14:textFill>
        </w:rPr>
        <w:t>制定《柳北区安全生产治本攻坚三年行动实施方案（2024-2026年）》，建立“1+22”方案体系。深入推进重大事故隐患专项排查整治行动，开展道路交通、危险化学品和非煤矿山、城镇燃气等重点领域专项整治。加强应急预案动态管理，已修编总体应急预案1个、专项应急预案12个、部门应急预案38个。</w:t>
      </w:r>
    </w:p>
    <w:p w14:paraId="5E1BF679">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val="0"/>
          <w:bCs w:val="0"/>
          <w:kern w:val="0"/>
          <w:sz w:val="32"/>
          <w:szCs w:val="32"/>
          <w:lang w:val="en-US" w:eastAsia="zh-CN" w:bidi="ar"/>
        </w:rPr>
      </w:pPr>
      <w:r>
        <w:rPr>
          <w:rFonts w:hint="eastAsia" w:ascii="楷体" w:hAnsi="楷体" w:eastAsia="楷体" w:cs="楷体"/>
          <w:b w:val="0"/>
          <w:bCs w:val="0"/>
          <w:kern w:val="0"/>
          <w:sz w:val="32"/>
          <w:szCs w:val="32"/>
          <w:lang w:val="en-US" w:eastAsia="zh-CN" w:bidi="ar"/>
        </w:rPr>
        <w:t>（七）坚持法治思维，依法行政水平持续提升</w:t>
      </w:r>
    </w:p>
    <w:p w14:paraId="31BD052F">
      <w:pPr>
        <w:keepNext w:val="0"/>
        <w:keepLines w:val="0"/>
        <w:pageBreakBefore w:val="0"/>
        <w:widowControl w:val="0"/>
        <w:kinsoku/>
        <w:wordWrap/>
        <w:overflowPunct/>
        <w:topLinePunct w:val="0"/>
        <w:autoSpaceDE/>
        <w:autoSpaceDN/>
        <w:bidi w:val="0"/>
        <w:adjustRightInd/>
        <w:snapToGrid/>
        <w:spacing w:line="560" w:lineRule="exact"/>
        <w:ind w:left="0" w:leftChars="0" w:right="0" w:firstLine="632" w:firstLineChars="200"/>
        <w:jc w:val="both"/>
        <w:textAlignment w:val="auto"/>
        <w:outlineLvl w:val="9"/>
        <w:rPr>
          <w:rFonts w:hint="eastAsia" w:ascii="仿宋_GB2312" w:hAnsi="仿宋_GB2312" w:eastAsia="仿宋_GB2312" w:cs="仿宋_GB2312"/>
          <w:b/>
          <w:bCs/>
          <w:i w:val="0"/>
          <w:caps w:val="0"/>
          <w:color w:val="000000" w:themeColor="text1"/>
          <w:spacing w:val="0"/>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i w:val="0"/>
          <w:caps w:val="0"/>
          <w:color w:val="000000" w:themeColor="text1"/>
          <w:spacing w:val="0"/>
          <w:kern w:val="2"/>
          <w:sz w:val="32"/>
          <w:szCs w:val="32"/>
          <w:shd w:val="clear" w:color="auto" w:fill="FFFFFF"/>
          <w:lang w:val="en-US" w:eastAsia="zh-CN" w:bidi="ar-SA"/>
          <w14:textFill>
            <w14:solidFill>
              <w14:schemeClr w14:val="tx1"/>
            </w14:solidFill>
          </w14:textFill>
        </w:rPr>
        <w:t>加大法治宣传教育力度。</w:t>
      </w:r>
      <w:r>
        <w:rPr>
          <w:rFonts w:hint="eastAsia" w:ascii="仿宋_GB2312" w:hAnsi="仿宋_GB2312" w:eastAsia="仿宋_GB2312" w:cs="仿宋_GB2312"/>
          <w:spacing w:val="0"/>
          <w:sz w:val="32"/>
          <w:lang w:val="en-US" w:eastAsia="zh-CN"/>
        </w:rPr>
        <w:t>出台</w:t>
      </w:r>
      <w:r>
        <w:rPr>
          <w:rFonts w:hint="eastAsia" w:ascii="仿宋_GB2312" w:hAnsi="仿宋_GB2312" w:eastAsia="仿宋_GB2312" w:cs="仿宋_GB2312"/>
          <w:spacing w:val="0"/>
          <w:sz w:val="32"/>
          <w:lang w:eastAsia="zh-CN"/>
        </w:rPr>
        <w:t>《柳北区领导干部应知应会党内法规和国家法律清单制度》，</w:t>
      </w:r>
      <w:r>
        <w:rPr>
          <w:rFonts w:hint="eastAsia" w:ascii="仿宋_GB2312" w:hAnsi="仿宋_GB2312" w:eastAsia="仿宋_GB2312" w:cs="仿宋_GB2312"/>
          <w:spacing w:val="0"/>
          <w:sz w:val="32"/>
          <w:szCs w:val="22"/>
          <w:lang w:val="en-US" w:eastAsia="zh-CN"/>
        </w:rPr>
        <w:t>区政府常务会开展法治专题讲座2次，</w:t>
      </w:r>
      <w:r>
        <w:rPr>
          <w:rFonts w:hint="eastAsia" w:ascii="仿宋_GB2312" w:hAnsi="仿宋_GB2312" w:eastAsia="仿宋_GB2312" w:cs="仿宋_GB2312"/>
          <w:b w:val="0"/>
          <w:spacing w:val="0"/>
          <w:kern w:val="0"/>
          <w:sz w:val="32"/>
          <w:szCs w:val="32"/>
          <w:lang w:val="en-US" w:eastAsia="zh-CN" w:bidi="ar"/>
        </w:rPr>
        <w:t>组织领导干部旁听庭审1</w:t>
      </w:r>
      <w:r>
        <w:rPr>
          <w:rFonts w:hint="eastAsia" w:ascii="仿宋_GB2312" w:hAnsi="仿宋_GB2312" w:eastAsia="仿宋_GB2312" w:cs="仿宋_GB2312"/>
          <w:spacing w:val="0"/>
          <w:sz w:val="32"/>
          <w:szCs w:val="32"/>
          <w:lang w:val="en-US" w:eastAsia="zh-CN"/>
        </w:rPr>
        <w:t>次，举办领导干部法治专题讲座1次。制定《柳北区区级国家机关普法责任清单》，各普法责任单位均制定并完成任务措施清单，并在门户网站公布，接受社会监督。出台并落实《柳北区“谁执法谁普法”责任单位年度履职报告评议办法》。</w:t>
      </w:r>
      <w:r>
        <w:rPr>
          <w:rFonts w:hint="default" w:ascii="仿宋_GB2312" w:hAnsi="仿宋_GB2312" w:eastAsia="仿宋_GB2312" w:cs="仿宋_GB2312"/>
          <w:color w:val="000000"/>
          <w:spacing w:val="0"/>
          <w:sz w:val="32"/>
          <w:szCs w:val="32"/>
          <w:shd w:val="clear" w:color="auto" w:fill="FFFFFF"/>
          <w:lang w:val="en-US" w:eastAsia="zh-CN"/>
        </w:rPr>
        <w:t>突出开展</w:t>
      </w:r>
      <w:r>
        <w:rPr>
          <w:rFonts w:hint="eastAsia" w:ascii="仿宋_GB2312" w:hAnsi="仿宋_GB2312" w:eastAsia="仿宋_GB2312" w:cs="仿宋_GB2312"/>
          <w:color w:val="000000"/>
          <w:spacing w:val="0"/>
          <w:sz w:val="32"/>
          <w:szCs w:val="32"/>
          <w:shd w:val="clear" w:color="auto" w:fill="FFFFFF"/>
          <w:lang w:val="en-US" w:eastAsia="zh-CN"/>
        </w:rPr>
        <w:t>宪法、</w:t>
      </w:r>
      <w:r>
        <w:rPr>
          <w:rFonts w:hint="default" w:ascii="仿宋_GB2312" w:hAnsi="仿宋_GB2312" w:eastAsia="仿宋_GB2312" w:cs="仿宋_GB2312"/>
          <w:color w:val="000000"/>
          <w:spacing w:val="0"/>
          <w:sz w:val="32"/>
          <w:szCs w:val="32"/>
          <w:shd w:val="clear" w:color="auto" w:fill="FFFFFF"/>
          <w:lang w:val="en-US" w:eastAsia="zh-CN"/>
        </w:rPr>
        <w:t>民法典及社会矛盾多发领域法律法规</w:t>
      </w:r>
      <w:r>
        <w:rPr>
          <w:rFonts w:hint="eastAsia" w:ascii="仿宋_GB2312" w:hAnsi="仿宋_GB2312" w:eastAsia="仿宋_GB2312" w:cs="仿宋_GB2312"/>
          <w:color w:val="000000"/>
          <w:spacing w:val="0"/>
          <w:sz w:val="32"/>
          <w:szCs w:val="32"/>
          <w:shd w:val="clear" w:color="auto" w:fill="FFFFFF"/>
          <w:lang w:val="en-US" w:eastAsia="zh-CN"/>
        </w:rPr>
        <w:t>普法宣传活动180余场次，解答群众法律诉求300余人次。</w:t>
      </w:r>
    </w:p>
    <w:p w14:paraId="563B4224">
      <w:pPr>
        <w:keepNext w:val="0"/>
        <w:keepLines w:val="0"/>
        <w:pageBreakBefore w:val="0"/>
        <w:widowControl w:val="0"/>
        <w:kinsoku/>
        <w:wordWrap/>
        <w:overflowPunct/>
        <w:topLinePunct w:val="0"/>
        <w:autoSpaceDE/>
        <w:autoSpaceDN/>
        <w:bidi w:val="0"/>
        <w:adjustRightInd/>
        <w:snapToGrid/>
        <w:spacing w:line="560" w:lineRule="exact"/>
        <w:ind w:left="0" w:leftChars="0" w:right="0" w:firstLine="632" w:firstLineChars="200"/>
        <w:jc w:val="both"/>
        <w:textAlignment w:val="auto"/>
        <w:outlineLvl w:val="9"/>
        <w:rPr>
          <w:rFonts w:hint="eastAsia" w:ascii="仿宋_GB2312" w:hAnsi="仿宋_GB2312" w:eastAsia="仿宋_GB2312" w:cs="仿宋_GB2312"/>
          <w:b/>
          <w:bCs/>
          <w:i w:val="0"/>
          <w:caps w:val="0"/>
          <w:color w:val="000000" w:themeColor="text1"/>
          <w:spacing w:val="0"/>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i w:val="0"/>
          <w:caps w:val="0"/>
          <w:color w:val="000000" w:themeColor="text1"/>
          <w:spacing w:val="0"/>
          <w:kern w:val="2"/>
          <w:sz w:val="32"/>
          <w:szCs w:val="32"/>
          <w:shd w:val="clear" w:color="auto" w:fill="FFFFFF"/>
          <w:lang w:val="en-US" w:eastAsia="zh-CN" w:bidi="ar-SA"/>
          <w14:textFill>
            <w14:solidFill>
              <w14:schemeClr w14:val="tx1"/>
            </w14:solidFill>
          </w14:textFill>
        </w:rPr>
        <w:t>提升公共法律服务质量。</w:t>
      </w:r>
      <w:r>
        <w:rPr>
          <w:rFonts w:hint="eastAsia" w:ascii="仿宋_GB2312" w:hAnsi="仿宋_GB2312" w:eastAsia="仿宋_GB2312" w:cs="仿宋_GB2312"/>
          <w:color w:val="000000"/>
          <w:spacing w:val="0"/>
          <w:sz w:val="32"/>
          <w:szCs w:val="32"/>
          <w:shd w:val="clear" w:color="auto" w:fill="FFFFFF"/>
          <w:lang w:val="en-US" w:eastAsia="zh-CN"/>
        </w:rPr>
        <w:t>全力推进98名村（社区）法律顾问有形覆盖、有效发挥，有力推动优质法律服务资源向乡村、社区基层一线辐射，相关做法获《法治日报》报道</w:t>
      </w:r>
      <w:r>
        <w:rPr>
          <w:rFonts w:hint="eastAsia" w:ascii="仿宋_GB2312" w:hAnsi="仿宋_GB2312" w:eastAsia="仿宋_GB2312" w:cs="仿宋_GB2312"/>
          <w:color w:val="000000"/>
          <w:spacing w:val="0"/>
          <w:sz w:val="32"/>
          <w:szCs w:val="32"/>
          <w:lang w:val="en-US" w:eastAsia="zh-CN"/>
        </w:rPr>
        <w:t>。</w:t>
      </w:r>
      <w:r>
        <w:rPr>
          <w:rFonts w:hint="eastAsia" w:ascii="仿宋_GB2312" w:hAnsi="仿宋_GB2312" w:eastAsia="仿宋_GB2312" w:cs="仿宋_GB2312"/>
          <w:color w:val="000000"/>
          <w:spacing w:val="0"/>
          <w:kern w:val="0"/>
          <w:sz w:val="32"/>
          <w:szCs w:val="32"/>
          <w:lang w:val="en-US" w:eastAsia="zh-CN" w:bidi="ar"/>
        </w:rPr>
        <w:t>实施“法律明白人”培养工程，确保每个村（社区）“法律明白人”10人以上。</w:t>
      </w:r>
      <w:r>
        <w:rPr>
          <w:rFonts w:hint="eastAsia" w:ascii="仿宋_GB2312" w:hAnsi="仿宋_GB2312" w:eastAsia="仿宋_GB2312" w:cs="仿宋_GB2312"/>
          <w:color w:val="000000"/>
          <w:spacing w:val="0"/>
          <w:kern w:val="2"/>
          <w:sz w:val="32"/>
          <w:szCs w:val="32"/>
          <w:lang w:val="en-US" w:eastAsia="zh-CN" w:bidi="ar-SA"/>
        </w:rPr>
        <w:t>实现</w:t>
      </w:r>
      <w:r>
        <w:rPr>
          <w:rFonts w:hint="eastAsia" w:ascii="仿宋_GB2312" w:hAnsi="仿宋_GB2312" w:eastAsia="仿宋_GB2312" w:cs="仿宋_GB2312"/>
          <w:spacing w:val="0"/>
          <w:sz w:val="32"/>
          <w:szCs w:val="32"/>
          <w:lang w:val="en-US" w:eastAsia="zh-CN"/>
        </w:rPr>
        <w:t>法律援助</w:t>
      </w:r>
      <w:r>
        <w:rPr>
          <w:rFonts w:hint="eastAsia" w:ascii="仿宋_GB2312" w:hAnsi="仿宋_GB2312" w:eastAsia="仿宋_GB2312" w:cs="仿宋_GB2312"/>
          <w:color w:val="000000"/>
          <w:spacing w:val="0"/>
          <w:kern w:val="2"/>
          <w:sz w:val="32"/>
          <w:szCs w:val="32"/>
          <w:lang w:val="en-US" w:eastAsia="zh-CN" w:bidi="ar-SA"/>
        </w:rPr>
        <w:t>应援尽援</w:t>
      </w:r>
      <w:r>
        <w:rPr>
          <w:rFonts w:hint="eastAsia" w:ascii="仿宋_GB2312" w:hAnsi="仿宋_GB2312" w:eastAsia="仿宋_GB2312" w:cs="仿宋_GB2312"/>
          <w:spacing w:val="0"/>
          <w:sz w:val="32"/>
          <w:szCs w:val="32"/>
          <w:lang w:val="en-US" w:eastAsia="zh-CN"/>
        </w:rPr>
        <w:t>，共办理法律援助案件163件；办理认罪认罚从宽制度法律帮助案件502件。</w:t>
      </w:r>
      <w:r>
        <w:rPr>
          <w:rFonts w:hint="eastAsia" w:ascii="仿宋_GB2312" w:hAnsi="仿宋_GB2312" w:eastAsia="仿宋_GB2312" w:cs="仿宋_GB2312"/>
          <w:color w:val="000000"/>
          <w:spacing w:val="0"/>
          <w:sz w:val="32"/>
          <w:szCs w:val="32"/>
          <w:lang w:val="en-US" w:eastAsia="zh-CN"/>
        </w:rPr>
        <w:t>开展“服务实体经济 律企携手同行”专项行动，组建法律服务团队，走进50多家民营企业、商会，开展“法治体检”活动28场次</w:t>
      </w:r>
      <w:r>
        <w:rPr>
          <w:rFonts w:hint="eastAsia" w:ascii="仿宋_GB2312" w:hAnsi="仿宋_GB2312" w:eastAsia="仿宋_GB2312" w:cs="仿宋_GB2312"/>
          <w:spacing w:val="0"/>
          <w:sz w:val="32"/>
          <w:szCs w:val="32"/>
          <w:lang w:eastAsia="zh-CN"/>
        </w:rPr>
        <w:t>。</w:t>
      </w:r>
    </w:p>
    <w:p w14:paraId="4E9D5CF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二、存在的问题</w:t>
      </w:r>
    </w:p>
    <w:p w14:paraId="3922F439">
      <w:pPr>
        <w:pStyle w:val="4"/>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kern w:val="2"/>
          <w:sz w:val="32"/>
          <w:szCs w:val="32"/>
          <w:shd w:val="clear" w:color="auto" w:fill="FFFFFF"/>
          <w:lang w:val="en-US" w:eastAsia="zh-CN" w:bidi="ar-SA"/>
        </w:rPr>
        <w:t>一年来，虽然法治政府建设工作取得一定成效，但仍存在一些不足</w:t>
      </w:r>
      <w:r>
        <w:rPr>
          <w:rFonts w:hint="eastAsia" w:ascii="仿宋_GB2312" w:hAnsi="仿宋_GB2312" w:eastAsia="仿宋_GB2312" w:cs="仿宋_GB2312"/>
          <w:color w:val="000000"/>
          <w:sz w:val="32"/>
          <w:szCs w:val="32"/>
          <w:shd w:val="clear" w:color="auto" w:fill="FFFFFF"/>
          <w:lang w:eastAsia="zh-CN"/>
        </w:rPr>
        <w:t>。</w:t>
      </w:r>
      <w:r>
        <w:rPr>
          <w:rFonts w:hint="default" w:ascii="仿宋_GB2312" w:hAnsi="仿宋_GB2312" w:eastAsia="仿宋_GB2312" w:cs="仿宋_GB2312"/>
          <w:b/>
          <w:bCs/>
          <w:color w:val="000000"/>
          <w:spacing w:val="0"/>
          <w:sz w:val="32"/>
          <w:szCs w:val="32"/>
          <w:shd w:val="clear" w:color="auto" w:fill="FFFFFF"/>
          <w:lang w:eastAsia="zh-CN"/>
        </w:rPr>
        <w:t>一是</w:t>
      </w:r>
      <w:r>
        <w:rPr>
          <w:rFonts w:hint="default" w:ascii="仿宋_GB2312" w:hAnsi="仿宋_GB2312" w:eastAsia="仿宋_GB2312" w:cs="仿宋_GB2312"/>
          <w:color w:val="000000"/>
          <w:spacing w:val="0"/>
          <w:sz w:val="32"/>
          <w:szCs w:val="32"/>
          <w:shd w:val="clear" w:color="auto" w:fill="FFFFFF"/>
          <w:lang w:val="en-US" w:eastAsia="zh-CN"/>
        </w:rPr>
        <w:t>行政执法规范化有待进一步提升。</w:t>
      </w:r>
      <w:r>
        <w:rPr>
          <w:rFonts w:hint="eastAsia" w:ascii="仿宋_GB2312" w:hAnsi="仿宋_GB2312" w:eastAsia="仿宋_GB2312" w:cs="仿宋_GB2312"/>
          <w:color w:val="000000"/>
          <w:spacing w:val="0"/>
          <w:sz w:val="32"/>
          <w:szCs w:val="32"/>
          <w:shd w:val="clear" w:color="auto" w:fill="FFFFFF"/>
          <w:lang w:val="en-US" w:eastAsia="zh-CN"/>
        </w:rPr>
        <w:t>部分执法单位</w:t>
      </w:r>
      <w:r>
        <w:rPr>
          <w:rFonts w:hint="default" w:ascii="仿宋_GB2312" w:hAnsi="仿宋_GB2312" w:eastAsia="仿宋_GB2312" w:cs="仿宋_GB2312"/>
          <w:color w:val="000000"/>
          <w:spacing w:val="0"/>
          <w:sz w:val="32"/>
          <w:szCs w:val="32"/>
          <w:shd w:val="clear" w:color="auto" w:fill="FFFFFF"/>
          <w:lang w:val="en-US" w:eastAsia="zh-CN"/>
        </w:rPr>
        <w:t>说服、教育等柔性执法方式的运用不充分，对群众切身利益和重大关切事项的回应不足</w:t>
      </w:r>
      <w:r>
        <w:rPr>
          <w:rFonts w:hint="eastAsia" w:ascii="仿宋_GB2312" w:hAnsi="仿宋_GB2312" w:eastAsia="仿宋_GB2312" w:cs="仿宋_GB2312"/>
          <w:color w:val="000000"/>
          <w:spacing w:val="0"/>
          <w:sz w:val="32"/>
          <w:szCs w:val="32"/>
          <w:shd w:val="clear" w:color="auto" w:fill="FFFFFF"/>
          <w:lang w:val="en-US" w:eastAsia="zh-CN"/>
        </w:rPr>
        <w:t>。</w:t>
      </w:r>
      <w:r>
        <w:rPr>
          <w:rFonts w:hint="eastAsia" w:ascii="仿宋_GB2312" w:hAnsi="仿宋_GB2312" w:eastAsia="仿宋_GB2312" w:cs="仿宋_GB2312"/>
          <w:b/>
          <w:bCs/>
          <w:color w:val="000000"/>
          <w:spacing w:val="0"/>
          <w:sz w:val="32"/>
          <w:szCs w:val="32"/>
          <w:shd w:val="clear" w:color="auto" w:fill="FFFFFF"/>
          <w:lang w:val="en-US" w:eastAsia="zh-CN"/>
        </w:rPr>
        <w:t>二是</w:t>
      </w:r>
      <w:r>
        <w:rPr>
          <w:rFonts w:hint="default" w:ascii="仿宋_GB2312" w:hAnsi="仿宋_GB2312" w:eastAsia="仿宋_GB2312" w:cs="仿宋_GB2312"/>
          <w:spacing w:val="0"/>
          <w:kern w:val="0"/>
          <w:sz w:val="32"/>
          <w:szCs w:val="32"/>
          <w:shd w:val="clear" w:color="auto" w:fill="FFFFFF"/>
          <w:lang w:val="en-US" w:eastAsia="zh-CN" w:bidi="ar"/>
        </w:rPr>
        <w:t>防范化解风险隐患压力较大</w:t>
      </w:r>
      <w:r>
        <w:rPr>
          <w:rFonts w:hint="eastAsia" w:ascii="仿宋_GB2312" w:hAnsi="仿宋_GB2312" w:eastAsia="仿宋_GB2312" w:cs="仿宋_GB2312"/>
          <w:spacing w:val="0"/>
          <w:kern w:val="0"/>
          <w:sz w:val="32"/>
          <w:szCs w:val="32"/>
          <w:shd w:val="clear" w:color="auto" w:fill="FFFFFF"/>
          <w:lang w:val="en-US" w:eastAsia="zh-CN" w:bidi="ar"/>
        </w:rPr>
        <w:t>，辖区</w:t>
      </w:r>
      <w:r>
        <w:rPr>
          <w:rFonts w:hint="default" w:ascii="仿宋_GB2312" w:hAnsi="仿宋_GB2312" w:eastAsia="仿宋_GB2312" w:cs="仿宋_GB2312"/>
          <w:spacing w:val="0"/>
          <w:kern w:val="0"/>
          <w:sz w:val="32"/>
          <w:szCs w:val="32"/>
          <w:shd w:val="clear" w:color="auto" w:fill="FFFFFF"/>
          <w:lang w:val="en-US" w:eastAsia="zh-CN" w:bidi="ar"/>
        </w:rPr>
        <w:t>重点人、重点群体信访意愿强烈，讨薪事件高发，社会面维稳压力大</w:t>
      </w:r>
      <w:r>
        <w:rPr>
          <w:rFonts w:hint="eastAsia" w:ascii="仿宋_GB2312" w:hAnsi="仿宋_GB2312" w:eastAsia="仿宋_GB2312" w:cs="仿宋_GB2312"/>
          <w:spacing w:val="0"/>
          <w:kern w:val="0"/>
          <w:sz w:val="32"/>
          <w:szCs w:val="32"/>
          <w:shd w:val="clear" w:color="auto" w:fill="FFFFFF"/>
          <w:lang w:val="en-US" w:eastAsia="zh-CN" w:bidi="ar"/>
        </w:rPr>
        <w:t>；社会面</w:t>
      </w:r>
      <w:r>
        <w:rPr>
          <w:rFonts w:hint="default" w:ascii="仿宋_GB2312" w:hAnsi="仿宋_GB2312" w:eastAsia="仿宋_GB2312" w:cs="仿宋_GB2312"/>
          <w:spacing w:val="0"/>
          <w:kern w:val="0"/>
          <w:sz w:val="32"/>
          <w:szCs w:val="32"/>
          <w:shd w:val="clear" w:color="auto" w:fill="FFFFFF"/>
          <w:lang w:val="en-US" w:eastAsia="zh-CN" w:bidi="ar"/>
        </w:rPr>
        <w:t>矛盾纠纷化解难度大</w:t>
      </w:r>
      <w:r>
        <w:rPr>
          <w:rFonts w:hint="eastAsia" w:ascii="仿宋_GB2312" w:hAnsi="仿宋_GB2312" w:eastAsia="仿宋_GB2312" w:cs="仿宋_GB2312"/>
          <w:spacing w:val="0"/>
          <w:kern w:val="0"/>
          <w:sz w:val="32"/>
          <w:szCs w:val="32"/>
          <w:shd w:val="clear" w:color="auto" w:fill="FFFFFF"/>
          <w:lang w:val="en-US" w:eastAsia="zh-CN" w:bidi="ar"/>
        </w:rPr>
        <w:t>，</w:t>
      </w:r>
      <w:r>
        <w:rPr>
          <w:rFonts w:hint="default" w:ascii="仿宋_GB2312" w:hAnsi="仿宋_GB2312" w:eastAsia="仿宋_GB2312" w:cs="仿宋_GB2312"/>
          <w:spacing w:val="0"/>
          <w:kern w:val="0"/>
          <w:sz w:val="32"/>
          <w:szCs w:val="32"/>
          <w:shd w:val="clear" w:color="auto" w:fill="FFFFFF"/>
          <w:lang w:val="en-US" w:eastAsia="zh-CN" w:bidi="ar"/>
        </w:rPr>
        <w:t>一些历史遗留问题、群体性事件等难以在短期内得到有效解决</w:t>
      </w:r>
      <w:r>
        <w:rPr>
          <w:rFonts w:hint="eastAsia" w:ascii="仿宋_GB2312" w:hAnsi="仿宋_GB2312" w:eastAsia="仿宋_GB2312" w:cs="仿宋_GB2312"/>
          <w:spacing w:val="0"/>
          <w:kern w:val="0"/>
          <w:sz w:val="32"/>
          <w:szCs w:val="32"/>
          <w:shd w:val="clear" w:color="auto" w:fill="FFFFFF"/>
          <w:lang w:val="en-US" w:eastAsia="zh-CN" w:bidi="ar"/>
        </w:rPr>
        <w:t>。</w:t>
      </w:r>
      <w:r>
        <w:rPr>
          <w:rFonts w:hint="eastAsia" w:ascii="仿宋_GB2312" w:hAnsi="仿宋" w:eastAsia="仿宋_GB2312" w:cs="仿宋"/>
          <w:b/>
          <w:bCs/>
          <w:color w:val="000000" w:themeColor="text1"/>
          <w:spacing w:val="0"/>
          <w:sz w:val="32"/>
          <w:szCs w:val="32"/>
          <w:lang w:eastAsia="zh-CN"/>
          <w14:textFill>
            <w14:solidFill>
              <w14:schemeClr w14:val="tx1"/>
            </w14:solidFill>
          </w14:textFill>
        </w:rPr>
        <w:t>三是</w:t>
      </w:r>
      <w:r>
        <w:rPr>
          <w:rFonts w:hint="eastAsia" w:ascii="仿宋_GB2312" w:hAnsi="仿宋" w:eastAsia="仿宋_GB2312" w:cs="仿宋"/>
          <w:color w:val="000000" w:themeColor="text1"/>
          <w:spacing w:val="0"/>
          <w:sz w:val="32"/>
          <w:szCs w:val="32"/>
          <w:lang w:eastAsia="zh-CN"/>
          <w14:textFill>
            <w14:solidFill>
              <w14:schemeClr w14:val="tx1"/>
            </w14:solidFill>
          </w14:textFill>
        </w:rPr>
        <w:t>辖区</w:t>
      </w:r>
      <w:r>
        <w:rPr>
          <w:rFonts w:hint="eastAsia" w:ascii="仿宋_GB2312" w:hAnsi="仿宋_GB2312" w:eastAsia="仿宋_GB2312" w:cs="仿宋_GB2312"/>
          <w:color w:val="000000" w:themeColor="text1"/>
          <w:spacing w:val="0"/>
          <w:sz w:val="32"/>
          <w:szCs w:val="32"/>
          <w14:textFill>
            <w14:solidFill>
              <w14:schemeClr w14:val="tx1"/>
            </w14:solidFill>
          </w14:textFill>
        </w:rPr>
        <w:t>涉及</w:t>
      </w:r>
      <w:r>
        <w:rPr>
          <w:rFonts w:hint="eastAsia" w:ascii="仿宋_GB2312" w:hAnsi="仿宋" w:eastAsia="仿宋_GB2312" w:cs="仿宋"/>
          <w:color w:val="000000" w:themeColor="text1"/>
          <w:spacing w:val="0"/>
          <w:sz w:val="32"/>
          <w:szCs w:val="32"/>
          <w14:textFill>
            <w14:solidFill>
              <w14:schemeClr w14:val="tx1"/>
            </w14:solidFill>
          </w14:textFill>
        </w:rPr>
        <w:t>已征未支付补偿款的相关诉讼案件日益增多</w:t>
      </w:r>
      <w:r>
        <w:rPr>
          <w:rFonts w:hint="eastAsia" w:ascii="仿宋_GB2312" w:hAnsi="仿宋_GB2312" w:eastAsia="仿宋_GB2312"/>
          <w:color w:val="000000" w:themeColor="text1"/>
          <w:spacing w:val="0"/>
          <w:sz w:val="32"/>
          <w:szCs w:val="32"/>
          <w14:textFill>
            <w14:solidFill>
              <w14:schemeClr w14:val="tx1"/>
            </w14:solidFill>
          </w14:textFill>
        </w:rPr>
        <w:t>，被诉案件</w:t>
      </w:r>
      <w:r>
        <w:rPr>
          <w:rFonts w:hint="eastAsia" w:ascii="仿宋_GB2312" w:hAnsi="仿宋_GB2312" w:eastAsia="仿宋_GB2312"/>
          <w:color w:val="000000" w:themeColor="text1"/>
          <w:spacing w:val="0"/>
          <w:sz w:val="32"/>
          <w:szCs w:val="32"/>
          <w:lang w:eastAsia="zh-CN"/>
          <w14:textFill>
            <w14:solidFill>
              <w14:schemeClr w14:val="tx1"/>
            </w14:solidFill>
          </w14:textFill>
        </w:rPr>
        <w:t>因</w:t>
      </w:r>
      <w:r>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t>无法</w:t>
      </w:r>
      <w:r>
        <w:rPr>
          <w:rFonts w:hint="eastAsia" w:ascii="仿宋_GB2312" w:hAnsi="仿宋_GB2312" w:eastAsia="仿宋_GB2312"/>
          <w:color w:val="000000" w:themeColor="text1"/>
          <w:spacing w:val="0"/>
          <w:sz w:val="32"/>
          <w:szCs w:val="32"/>
          <w:lang w:eastAsia="zh-CN"/>
          <w14:textFill>
            <w14:solidFill>
              <w14:schemeClr w14:val="tx1"/>
            </w14:solidFill>
          </w14:textFill>
        </w:rPr>
        <w:t>按</w:t>
      </w:r>
      <w:r>
        <w:rPr>
          <w:rFonts w:hint="eastAsia" w:ascii="仿宋_GB2312" w:hAnsi="仿宋_GB2312" w:eastAsia="仿宋_GB2312"/>
          <w:color w:val="000000" w:themeColor="text1"/>
          <w:spacing w:val="0"/>
          <w:sz w:val="32"/>
          <w:szCs w:val="32"/>
          <w14:textFill>
            <w14:solidFill>
              <w14:schemeClr w14:val="tx1"/>
            </w14:solidFill>
          </w14:textFill>
        </w:rPr>
        <w:t>约支付补偿款，将承担败诉以及被强制执行的风险</w:t>
      </w:r>
      <w:r>
        <w:rPr>
          <w:rFonts w:hint="eastAsia" w:ascii="仿宋_GB2312" w:hAnsi="仿宋" w:eastAsia="仿宋_GB2312" w:cs="仿宋"/>
          <w:color w:val="000000" w:themeColor="text1"/>
          <w:spacing w:val="0"/>
          <w:sz w:val="32"/>
          <w:szCs w:val="32"/>
          <w14:textFill>
            <w14:solidFill>
              <w14:schemeClr w14:val="tx1"/>
            </w14:solidFill>
          </w14:textFill>
        </w:rPr>
        <w:t>。</w:t>
      </w:r>
    </w:p>
    <w:p w14:paraId="37CA60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三、2025年推进法治政府建设的打算</w:t>
      </w:r>
    </w:p>
    <w:p w14:paraId="34D20C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楷体_GB2312" w:hAnsi="楷体_GB2312" w:eastAsia="楷体_GB2312" w:cs="楷体_GB2312"/>
          <w:color w:val="000000" w:themeColor="text1"/>
          <w:spacing w:val="0"/>
          <w:kern w:val="2"/>
          <w:sz w:val="32"/>
          <w:szCs w:val="32"/>
          <w:lang w:val="en-US" w:eastAsia="zh-CN" w:bidi="zh-CN"/>
          <w14:textFill>
            <w14:solidFill>
              <w14:schemeClr w14:val="tx1"/>
            </w14:solidFill>
          </w14:textFill>
        </w:rPr>
      </w:pPr>
      <w:r>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t>2025年，柳北区将坚持以习近平新时代中国特色社会主义思想为指导，深入学习贯彻习近平法治思想，进一步提高政治站位、强化工作措施，切实把党和国家关于法治政府建设的决策部署落到实处，真正让法治政府建设的成效更多更充分惠及人民。</w:t>
      </w:r>
    </w:p>
    <w:p w14:paraId="424AEB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pPr>
      <w:r>
        <w:rPr>
          <w:rFonts w:hint="eastAsia" w:ascii="楷体_GB2312" w:hAnsi="楷体_GB2312" w:eastAsia="楷体_GB2312" w:cs="楷体_GB2312"/>
          <w:color w:val="000000" w:themeColor="text1"/>
          <w:spacing w:val="0"/>
          <w:kern w:val="2"/>
          <w:sz w:val="32"/>
          <w:szCs w:val="32"/>
          <w:lang w:val="en-US" w:eastAsia="zh-CN" w:bidi="zh-CN"/>
          <w14:textFill>
            <w14:solidFill>
              <w14:schemeClr w14:val="tx1"/>
            </w14:solidFill>
          </w14:textFill>
        </w:rPr>
        <w:t>（一）着力强化法治政府建设统筹。</w:t>
      </w:r>
      <w:r>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t>将习近平法治思想学习宣传贯彻纳入各部门、镇（街道）工作重点。压实履行推进法治建设第一责任人职责，全面落实述法点评工作制度，推动各方面工作法治化。做好法治建设督察整改。</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组织实施</w:t>
      </w:r>
      <w:r>
        <w:rPr>
          <w:rFonts w:hint="default" w:ascii="仿宋_GB2312" w:hAnsi="仿宋_GB2312" w:eastAsia="仿宋_GB2312" w:cs="仿宋_GB2312"/>
          <w:i w:val="0"/>
          <w:caps w:val="0"/>
          <w:color w:val="000000"/>
          <w:spacing w:val="0"/>
          <w:kern w:val="2"/>
          <w:sz w:val="32"/>
          <w:szCs w:val="32"/>
          <w:shd w:val="clear" w:color="auto" w:fill="FFFFFF"/>
          <w:lang w:val="en-US" w:eastAsia="zh-CN" w:bidi="ar-SA"/>
        </w:rPr>
        <w:t>“</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八五</w:t>
      </w:r>
      <w:r>
        <w:rPr>
          <w:rFonts w:hint="default" w:ascii="仿宋_GB2312" w:hAnsi="仿宋_GB2312" w:eastAsia="仿宋_GB2312" w:cs="仿宋_GB2312"/>
          <w:i w:val="0"/>
          <w:caps w:val="0"/>
          <w:color w:val="000000"/>
          <w:spacing w:val="0"/>
          <w:kern w:val="2"/>
          <w:sz w:val="32"/>
          <w:szCs w:val="32"/>
          <w:shd w:val="clear" w:color="auto" w:fill="FFFFFF"/>
          <w:lang w:val="en-US" w:eastAsia="zh-CN" w:bidi="ar-SA"/>
        </w:rPr>
        <w:t>”</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普法规划，深化</w:t>
      </w:r>
      <w:r>
        <w:rPr>
          <w:rFonts w:hint="default" w:ascii="仿宋_GB2312" w:hAnsi="仿宋_GB2312" w:eastAsia="仿宋_GB2312" w:cs="仿宋_GB2312"/>
          <w:i w:val="0"/>
          <w:caps w:val="0"/>
          <w:color w:val="000000"/>
          <w:spacing w:val="0"/>
          <w:kern w:val="2"/>
          <w:sz w:val="32"/>
          <w:szCs w:val="32"/>
          <w:shd w:val="clear" w:color="auto" w:fill="FFFFFF"/>
          <w:lang w:val="en-US" w:eastAsia="zh-CN" w:bidi="ar-SA"/>
        </w:rPr>
        <w:t>“</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谁执法谁普法</w:t>
      </w:r>
      <w:r>
        <w:rPr>
          <w:rFonts w:hint="default" w:ascii="仿宋_GB2312" w:hAnsi="仿宋_GB2312" w:eastAsia="仿宋_GB2312" w:cs="仿宋_GB2312"/>
          <w:i w:val="0"/>
          <w:caps w:val="0"/>
          <w:color w:val="000000"/>
          <w:spacing w:val="0"/>
          <w:kern w:val="2"/>
          <w:sz w:val="32"/>
          <w:szCs w:val="32"/>
          <w:shd w:val="clear" w:color="auto" w:fill="FFFFFF"/>
          <w:lang w:val="en-US" w:eastAsia="zh-CN" w:bidi="ar-SA"/>
        </w:rPr>
        <w:t>”</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责任制落实。</w:t>
      </w:r>
    </w:p>
    <w:p w14:paraId="57ED04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pPr>
      <w:r>
        <w:rPr>
          <w:rFonts w:hint="eastAsia" w:ascii="楷体_GB2312" w:hAnsi="楷体_GB2312" w:eastAsia="楷体_GB2312" w:cs="楷体_GB2312"/>
          <w:color w:val="000000" w:themeColor="text1"/>
          <w:spacing w:val="0"/>
          <w:kern w:val="2"/>
          <w:sz w:val="32"/>
          <w:szCs w:val="32"/>
          <w:lang w:val="en-US" w:eastAsia="zh-CN" w:bidi="zh-CN"/>
          <w14:textFill>
            <w14:solidFill>
              <w14:schemeClr w14:val="tx1"/>
            </w14:solidFill>
          </w14:textFill>
        </w:rPr>
        <w:t>（二）着力优化法治化营商环境。</w:t>
      </w:r>
      <w:r>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t>持续推进政府职能转变，不断提升政务服务效能，打造稳定公平透明、可预期的法治化营商环境。以合法性审查为抓手，进一步规范重大行政决策、行政规范性文件制发程序。推进镇（街道）合法性审查标准化、规范化建设。</w:t>
      </w:r>
      <w:r>
        <w:rPr>
          <w:rFonts w:hint="eastAsia" w:ascii="仿宋_GB2312" w:hAnsi="仿宋_GB2312" w:eastAsia="仿宋_GB2312" w:cs="仿宋_GB2312"/>
          <w:i w:val="0"/>
          <w:caps w:val="0"/>
          <w:color w:val="000000"/>
          <w:spacing w:val="0"/>
          <w:sz w:val="32"/>
          <w:szCs w:val="32"/>
          <w:shd w:val="clear" w:color="auto" w:fill="FFFFFF"/>
          <w:lang w:val="en-US" w:eastAsia="zh-CN"/>
        </w:rPr>
        <w:t>加强行政规范性文件制定和监督</w:t>
      </w:r>
      <w:r>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t>管理。</w:t>
      </w:r>
    </w:p>
    <w:p w14:paraId="19AD24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i w:val="0"/>
          <w:caps w:val="0"/>
          <w:color w:val="000000"/>
          <w:spacing w:val="0"/>
          <w:sz w:val="32"/>
          <w:szCs w:val="32"/>
          <w:shd w:val="clear" w:color="auto" w:fill="FFFFFF"/>
          <w:lang w:val="en-US" w:eastAsia="zh-CN"/>
        </w:rPr>
      </w:pPr>
      <w:r>
        <w:rPr>
          <w:rFonts w:hint="eastAsia" w:ascii="楷体_GB2312" w:hAnsi="楷体_GB2312" w:eastAsia="楷体_GB2312" w:cs="楷体_GB2312"/>
          <w:color w:val="000000" w:themeColor="text1"/>
          <w:spacing w:val="0"/>
          <w:kern w:val="2"/>
          <w:sz w:val="32"/>
          <w:szCs w:val="32"/>
          <w:lang w:val="en-US" w:eastAsia="zh-CN" w:bidi="zh-CN"/>
          <w14:textFill>
            <w14:solidFill>
              <w14:schemeClr w14:val="tx1"/>
            </w14:solidFill>
          </w14:textFill>
        </w:rPr>
        <w:t>（三）着力提升行政执法质量和效能。</w:t>
      </w:r>
      <w:r>
        <w:rPr>
          <w:rFonts w:hint="eastAsia" w:ascii="仿宋_GB2312" w:hAnsi="仿宋_GB2312" w:eastAsia="仿宋_GB2312" w:cs="仿宋_GB2312"/>
          <w:i w:val="0"/>
          <w:caps w:val="0"/>
          <w:color w:val="000000"/>
          <w:spacing w:val="0"/>
          <w:sz w:val="32"/>
          <w:szCs w:val="32"/>
          <w:shd w:val="clear" w:color="auto" w:fill="FFFFFF"/>
          <w:lang w:val="en-US" w:eastAsia="zh-CN"/>
        </w:rPr>
        <w:t>深化推进行政执法体制改革，加强镇（街道）行政执法规范化建设。全面落实行政执法</w:t>
      </w:r>
      <w:r>
        <w:rPr>
          <w:rFonts w:hint="default" w:ascii="仿宋_GB2312" w:hAnsi="仿宋_GB2312" w:eastAsia="仿宋_GB2312" w:cs="仿宋_GB2312"/>
          <w:i w:val="0"/>
          <w:caps w:val="0"/>
          <w:color w:val="000000"/>
          <w:spacing w:val="0"/>
          <w:sz w:val="32"/>
          <w:szCs w:val="32"/>
          <w:shd w:val="clear" w:color="auto" w:fill="FFFFFF"/>
          <w:lang w:val="en-US" w:eastAsia="zh-CN"/>
        </w:rPr>
        <w:t>“</w:t>
      </w:r>
      <w:r>
        <w:rPr>
          <w:rFonts w:hint="eastAsia" w:ascii="仿宋_GB2312" w:hAnsi="仿宋_GB2312" w:eastAsia="仿宋_GB2312" w:cs="仿宋_GB2312"/>
          <w:i w:val="0"/>
          <w:caps w:val="0"/>
          <w:color w:val="000000"/>
          <w:spacing w:val="0"/>
          <w:sz w:val="32"/>
          <w:szCs w:val="32"/>
          <w:shd w:val="clear" w:color="auto" w:fill="FFFFFF"/>
          <w:lang w:val="en-US" w:eastAsia="zh-CN"/>
        </w:rPr>
        <w:t>三项制度</w:t>
      </w:r>
      <w:r>
        <w:rPr>
          <w:rFonts w:hint="default" w:ascii="仿宋_GB2312" w:hAnsi="仿宋_GB2312" w:eastAsia="仿宋_GB2312" w:cs="仿宋_GB2312"/>
          <w:i w:val="0"/>
          <w:caps w:val="0"/>
          <w:color w:val="000000"/>
          <w:spacing w:val="0"/>
          <w:sz w:val="32"/>
          <w:szCs w:val="32"/>
          <w:shd w:val="clear" w:color="auto" w:fill="FFFFFF"/>
          <w:lang w:val="en-US" w:eastAsia="zh-CN"/>
        </w:rPr>
        <w:t>”</w:t>
      </w:r>
      <w:r>
        <w:rPr>
          <w:rFonts w:hint="eastAsia" w:ascii="仿宋_GB2312" w:hAnsi="仿宋_GB2312" w:eastAsia="仿宋_GB2312" w:cs="仿宋_GB2312"/>
          <w:i w:val="0"/>
          <w:caps w:val="0"/>
          <w:color w:val="000000"/>
          <w:spacing w:val="0"/>
          <w:sz w:val="32"/>
          <w:szCs w:val="32"/>
          <w:shd w:val="clear" w:color="auto" w:fill="FFFFFF"/>
          <w:lang w:val="en-US" w:eastAsia="zh-CN"/>
        </w:rPr>
        <w:t>，探索开展一体化执法检查，开展规范涉企执法专项行动。推进行政复议规范化建设，探索多端引流机制，逐年提升复议、诉讼收案比。</w:t>
      </w:r>
    </w:p>
    <w:p w14:paraId="447AA0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lang w:val="en-US" w:eastAsia="zh-CN"/>
        </w:rPr>
      </w:pPr>
      <w:r>
        <w:rPr>
          <w:rFonts w:hint="eastAsia" w:ascii="楷体_GB2312" w:hAnsi="楷体_GB2312" w:eastAsia="楷体_GB2312" w:cs="楷体_GB2312"/>
          <w:color w:val="000000" w:themeColor="text1"/>
          <w:spacing w:val="0"/>
          <w:kern w:val="2"/>
          <w:sz w:val="32"/>
          <w:szCs w:val="32"/>
          <w:lang w:val="en-US" w:eastAsia="zh-CN" w:bidi="zh-CN"/>
          <w14:textFill>
            <w14:solidFill>
              <w14:schemeClr w14:val="tx1"/>
            </w14:solidFill>
          </w14:textFill>
        </w:rPr>
        <w:t>（四）着力加强矛盾纠纷多元调处化解。</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坚持和发展新时代</w:t>
      </w:r>
      <w:r>
        <w:rPr>
          <w:rFonts w:hint="default" w:ascii="仿宋_GB2312" w:hAnsi="仿宋_GB2312" w:eastAsia="仿宋_GB2312" w:cs="仿宋_GB2312"/>
          <w:i w:val="0"/>
          <w:caps w:val="0"/>
          <w:color w:val="000000"/>
          <w:spacing w:val="0"/>
          <w:kern w:val="2"/>
          <w:sz w:val="32"/>
          <w:szCs w:val="32"/>
          <w:shd w:val="clear" w:color="auto" w:fill="FFFFFF"/>
          <w:lang w:val="en-US" w:eastAsia="zh-CN" w:bidi="ar-SA"/>
        </w:rPr>
        <w:t>“</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枫桥经验</w:t>
      </w:r>
      <w:r>
        <w:rPr>
          <w:rFonts w:hint="default" w:ascii="仿宋_GB2312" w:hAnsi="仿宋_GB2312" w:eastAsia="仿宋_GB2312" w:cs="仿宋_GB2312"/>
          <w:i w:val="0"/>
          <w:caps w:val="0"/>
          <w:color w:val="000000"/>
          <w:spacing w:val="0"/>
          <w:kern w:val="2"/>
          <w:sz w:val="32"/>
          <w:szCs w:val="32"/>
          <w:shd w:val="clear" w:color="auto" w:fill="FFFFFF"/>
          <w:lang w:val="en-US" w:eastAsia="zh-CN" w:bidi="ar-SA"/>
        </w:rPr>
        <w:t>”</w:t>
      </w:r>
      <w:r>
        <w:rPr>
          <w:rFonts w:hint="eastAsia" w:ascii="仿宋_GB2312" w:hAnsi="仿宋_GB2312" w:eastAsia="仿宋_GB2312" w:cs="仿宋_GB2312"/>
          <w:i w:val="0"/>
          <w:caps w:val="0"/>
          <w:color w:val="000000"/>
          <w:spacing w:val="0"/>
          <w:kern w:val="2"/>
          <w:sz w:val="32"/>
          <w:szCs w:val="32"/>
          <w:shd w:val="clear" w:color="auto" w:fill="FFFFFF"/>
          <w:lang w:val="en-US" w:eastAsia="zh-CN" w:bidi="ar-SA"/>
        </w:rPr>
        <w:t>，扎实开展“化解矛盾风险 维护社会稳定”专项治理工作，健全行政调解与人民调解、司法调解衔接机制，推动矛盾纠纷源头防范化解，</w:t>
      </w:r>
      <w:r>
        <w:rPr>
          <w:rFonts w:hint="eastAsia" w:ascii="仿宋_GB2312" w:hAnsi="仿宋_GB2312" w:eastAsia="仿宋_GB2312" w:cs="宋体"/>
          <w:color w:val="000000" w:themeColor="text1"/>
          <w:spacing w:val="0"/>
          <w:kern w:val="2"/>
          <w:sz w:val="32"/>
          <w:szCs w:val="32"/>
          <w:lang w:val="en-US" w:eastAsia="zh-CN" w:bidi="zh-CN"/>
          <w14:textFill>
            <w14:solidFill>
              <w14:schemeClr w14:val="tx1"/>
            </w14:solidFill>
          </w14:textFill>
        </w:rPr>
        <w:t>提升矛盾纠纷预防化解法治化水平。</w:t>
      </w:r>
    </w:p>
    <w:sectPr>
      <w:footerReference r:id="rId3" w:type="default"/>
      <w:pgSz w:w="11906" w:h="16838"/>
      <w:pgMar w:top="1984" w:right="1531" w:bottom="1587" w:left="1417" w:header="851" w:footer="992" w:gutter="0"/>
      <w:pgBorders>
        <w:top w:val="none" w:sz="0" w:space="0"/>
        <w:left w:val="none" w:sz="0" w:space="0"/>
        <w:bottom w:val="none" w:sz="0" w:space="0"/>
        <w:right w:val="none" w:sz="0" w:space="0"/>
      </w:pgBorders>
      <w:pgNumType w:fmt="decimal"/>
      <w:cols w:space="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ordia New">
    <w:altName w:val="Microsoft Sans Serif"/>
    <w:panose1 w:val="020B0304020202020204"/>
    <w:charset w:val="DE"/>
    <w:family w:val="roman"/>
    <w:pitch w:val="default"/>
    <w:sig w:usb0="00000000" w:usb1="00000000" w:usb2="00000000" w:usb3="00000000" w:csb0="0001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icrosoft Sans Serif">
    <w:panose1 w:val="020B0604020202020204"/>
    <w:charset w:val="00"/>
    <w:family w:val="auto"/>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438CE">
    <w:pPr>
      <w:pStyle w:val="6"/>
      <w:ind w:left="219" w:leftChars="0" w:right="429" w:rightChars="134" w:hanging="219" w:hangingChars="122"/>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09855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985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1C5B6">
                          <w:pPr>
                            <w:pStyle w:val="6"/>
                            <w:ind w:left="-304" w:leftChars="-95" w:right="-1523" w:rightChars="-476" w:firstLine="574" w:firstLineChars="205"/>
                            <w:jc w:val="lef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86.5pt;mso-position-horizontal:outside;mso-position-horizontal-relative:margin;z-index:251659264;mso-width-relative:page;mso-height-relative:page;" filled="f" stroked="f" coordsize="21600,21600" o:gfxdata="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LPhT+0wAAAAUBAAAPAAAAAAAAAAEAIAAAACIAAABkcnMvZG93bnJldi54&#10;bWxQSwECFAAUAAAACACHTuJAealYVjgCAABjBAAADgAAAAAAAAABACAAAAAiAQAAZHJzL2Uyb0Rv&#10;Yy54bWxQSwUGAAAAAAYABgBZAQAAzAUAAAAA&#10;">
              <v:fill on="f" focussize="0,0"/>
              <v:stroke on="f" weight="0.5pt"/>
              <v:imagedata o:title=""/>
              <o:lock v:ext="edit" aspectratio="f"/>
              <v:textbox inset="0mm,0mm,0mm,0mm" style="mso-fit-shape-to-text:t;">
                <w:txbxContent>
                  <w:p w14:paraId="70E1C5B6">
                    <w:pPr>
                      <w:pStyle w:val="6"/>
                      <w:ind w:left="-304" w:leftChars="-95" w:right="-1523" w:rightChars="-476" w:firstLine="574" w:firstLineChars="205"/>
                      <w:jc w:val="lef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58"/>
  <w:drawingGridVerticalSpacing w:val="290"/>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2NTJiMGZmZTU1MTg3ZjhiNjk3MGVkNmE2OGY5ODcifQ=="/>
    <w:docVar w:name="KSO_WPS_MARK_KEY" w:val="ae3b5b44-d563-442b-91ed-7750c60a9dcf"/>
  </w:docVars>
  <w:rsids>
    <w:rsidRoot w:val="00172A27"/>
    <w:rsid w:val="0000493F"/>
    <w:rsid w:val="000B524C"/>
    <w:rsid w:val="00775A7E"/>
    <w:rsid w:val="007D5968"/>
    <w:rsid w:val="008D71A8"/>
    <w:rsid w:val="008F7365"/>
    <w:rsid w:val="00901107"/>
    <w:rsid w:val="00A012D6"/>
    <w:rsid w:val="00FD0580"/>
    <w:rsid w:val="011F2490"/>
    <w:rsid w:val="01671DB2"/>
    <w:rsid w:val="01DC3D33"/>
    <w:rsid w:val="021B1A34"/>
    <w:rsid w:val="021C3B0E"/>
    <w:rsid w:val="022F7BA4"/>
    <w:rsid w:val="025E0414"/>
    <w:rsid w:val="027C5974"/>
    <w:rsid w:val="02A1449C"/>
    <w:rsid w:val="02D0611A"/>
    <w:rsid w:val="02DC7B20"/>
    <w:rsid w:val="02DD6FEE"/>
    <w:rsid w:val="02FF7775"/>
    <w:rsid w:val="031456FC"/>
    <w:rsid w:val="0326368C"/>
    <w:rsid w:val="032F3B98"/>
    <w:rsid w:val="03370E89"/>
    <w:rsid w:val="0345774D"/>
    <w:rsid w:val="039D0278"/>
    <w:rsid w:val="03BC5CA3"/>
    <w:rsid w:val="03CC3EE1"/>
    <w:rsid w:val="03CF124E"/>
    <w:rsid w:val="03E27D82"/>
    <w:rsid w:val="042F4A98"/>
    <w:rsid w:val="04516668"/>
    <w:rsid w:val="048A0E71"/>
    <w:rsid w:val="04B55B88"/>
    <w:rsid w:val="04F17F9E"/>
    <w:rsid w:val="04F76267"/>
    <w:rsid w:val="052B01B5"/>
    <w:rsid w:val="05A8514F"/>
    <w:rsid w:val="05DF1402"/>
    <w:rsid w:val="06035895"/>
    <w:rsid w:val="06741343"/>
    <w:rsid w:val="068508EA"/>
    <w:rsid w:val="06A63F31"/>
    <w:rsid w:val="06B032B5"/>
    <w:rsid w:val="06D339EC"/>
    <w:rsid w:val="06FD417B"/>
    <w:rsid w:val="07335048"/>
    <w:rsid w:val="073C27BB"/>
    <w:rsid w:val="07655205"/>
    <w:rsid w:val="07B8206E"/>
    <w:rsid w:val="07D30B8D"/>
    <w:rsid w:val="08450EFA"/>
    <w:rsid w:val="08901554"/>
    <w:rsid w:val="08DF2449"/>
    <w:rsid w:val="0924499C"/>
    <w:rsid w:val="09512838"/>
    <w:rsid w:val="095E13A5"/>
    <w:rsid w:val="0A027D2A"/>
    <w:rsid w:val="0A070783"/>
    <w:rsid w:val="0A145965"/>
    <w:rsid w:val="0A2B7C9C"/>
    <w:rsid w:val="0A340D23"/>
    <w:rsid w:val="0A401058"/>
    <w:rsid w:val="0A6F437C"/>
    <w:rsid w:val="0ACD5C1E"/>
    <w:rsid w:val="0AF73E7B"/>
    <w:rsid w:val="0B2A23B5"/>
    <w:rsid w:val="0B4D5B4A"/>
    <w:rsid w:val="0B570465"/>
    <w:rsid w:val="0B8765F0"/>
    <w:rsid w:val="0BAE64D1"/>
    <w:rsid w:val="0C47540E"/>
    <w:rsid w:val="0D337B19"/>
    <w:rsid w:val="0D426BF6"/>
    <w:rsid w:val="0D882012"/>
    <w:rsid w:val="0DD845C3"/>
    <w:rsid w:val="0DE05C5F"/>
    <w:rsid w:val="0DE839BE"/>
    <w:rsid w:val="0E0A78ED"/>
    <w:rsid w:val="0E7530EB"/>
    <w:rsid w:val="0E9B5E0F"/>
    <w:rsid w:val="0EA1351C"/>
    <w:rsid w:val="0EB30C41"/>
    <w:rsid w:val="0F5934EC"/>
    <w:rsid w:val="0F661608"/>
    <w:rsid w:val="0F771E44"/>
    <w:rsid w:val="0F7D2123"/>
    <w:rsid w:val="0FA768E4"/>
    <w:rsid w:val="0FC24BA9"/>
    <w:rsid w:val="0FE666C9"/>
    <w:rsid w:val="0FF833C4"/>
    <w:rsid w:val="0FFC479B"/>
    <w:rsid w:val="103B4BEE"/>
    <w:rsid w:val="106013FF"/>
    <w:rsid w:val="108A5E50"/>
    <w:rsid w:val="10970805"/>
    <w:rsid w:val="10CC2AB4"/>
    <w:rsid w:val="10E91BDF"/>
    <w:rsid w:val="111A1AF2"/>
    <w:rsid w:val="11967779"/>
    <w:rsid w:val="12065E27"/>
    <w:rsid w:val="123E651D"/>
    <w:rsid w:val="12454989"/>
    <w:rsid w:val="124D7DC3"/>
    <w:rsid w:val="12AB6591"/>
    <w:rsid w:val="12DB136F"/>
    <w:rsid w:val="13047BEA"/>
    <w:rsid w:val="13514E16"/>
    <w:rsid w:val="135A6B74"/>
    <w:rsid w:val="13643960"/>
    <w:rsid w:val="1380216A"/>
    <w:rsid w:val="13C52000"/>
    <w:rsid w:val="140E2F63"/>
    <w:rsid w:val="142851DE"/>
    <w:rsid w:val="143E3620"/>
    <w:rsid w:val="144E05BD"/>
    <w:rsid w:val="14546114"/>
    <w:rsid w:val="14581694"/>
    <w:rsid w:val="14D2089E"/>
    <w:rsid w:val="14D342B9"/>
    <w:rsid w:val="152732E3"/>
    <w:rsid w:val="15451F7D"/>
    <w:rsid w:val="155E36B8"/>
    <w:rsid w:val="15715577"/>
    <w:rsid w:val="15AB04C7"/>
    <w:rsid w:val="15BC637E"/>
    <w:rsid w:val="15C55039"/>
    <w:rsid w:val="15D90FE4"/>
    <w:rsid w:val="15E52212"/>
    <w:rsid w:val="15EF56C3"/>
    <w:rsid w:val="167F43DA"/>
    <w:rsid w:val="16D67018"/>
    <w:rsid w:val="171A2706"/>
    <w:rsid w:val="176F1A5D"/>
    <w:rsid w:val="177839FB"/>
    <w:rsid w:val="17962817"/>
    <w:rsid w:val="17BF753B"/>
    <w:rsid w:val="17CC32F9"/>
    <w:rsid w:val="17FA40A8"/>
    <w:rsid w:val="1809657E"/>
    <w:rsid w:val="18254F06"/>
    <w:rsid w:val="18267F84"/>
    <w:rsid w:val="184A4262"/>
    <w:rsid w:val="18631D3F"/>
    <w:rsid w:val="1868545C"/>
    <w:rsid w:val="18977BE2"/>
    <w:rsid w:val="18C0749D"/>
    <w:rsid w:val="18D8185F"/>
    <w:rsid w:val="18E871F9"/>
    <w:rsid w:val="18EC2C37"/>
    <w:rsid w:val="191841BE"/>
    <w:rsid w:val="19381A00"/>
    <w:rsid w:val="193D6352"/>
    <w:rsid w:val="193E184A"/>
    <w:rsid w:val="196C0AE6"/>
    <w:rsid w:val="19740060"/>
    <w:rsid w:val="197E2E54"/>
    <w:rsid w:val="198D3904"/>
    <w:rsid w:val="19A97A94"/>
    <w:rsid w:val="19D568B2"/>
    <w:rsid w:val="19F21EF8"/>
    <w:rsid w:val="1A92424E"/>
    <w:rsid w:val="1A9856C1"/>
    <w:rsid w:val="1AB67435"/>
    <w:rsid w:val="1B141B1A"/>
    <w:rsid w:val="1B584DB7"/>
    <w:rsid w:val="1B6A6BC8"/>
    <w:rsid w:val="1B731D3A"/>
    <w:rsid w:val="1B99110E"/>
    <w:rsid w:val="1BDA0871"/>
    <w:rsid w:val="1BF032F5"/>
    <w:rsid w:val="1C4061E2"/>
    <w:rsid w:val="1C57554D"/>
    <w:rsid w:val="1C610D6B"/>
    <w:rsid w:val="1D2263A3"/>
    <w:rsid w:val="1D2E7A1C"/>
    <w:rsid w:val="1D5803D5"/>
    <w:rsid w:val="1D644466"/>
    <w:rsid w:val="1D76279C"/>
    <w:rsid w:val="1D935276"/>
    <w:rsid w:val="1DD863B1"/>
    <w:rsid w:val="1DD91068"/>
    <w:rsid w:val="1E1D6406"/>
    <w:rsid w:val="1E3E2A7F"/>
    <w:rsid w:val="1E7A3F90"/>
    <w:rsid w:val="1F1A2EC9"/>
    <w:rsid w:val="1F5C1B6D"/>
    <w:rsid w:val="1F5C74E2"/>
    <w:rsid w:val="1F7B3A28"/>
    <w:rsid w:val="1F943100"/>
    <w:rsid w:val="1FB742BB"/>
    <w:rsid w:val="1FB77B7C"/>
    <w:rsid w:val="1FC01100"/>
    <w:rsid w:val="1FF006AB"/>
    <w:rsid w:val="20C374E5"/>
    <w:rsid w:val="21246649"/>
    <w:rsid w:val="212951BC"/>
    <w:rsid w:val="215F66B8"/>
    <w:rsid w:val="218726C4"/>
    <w:rsid w:val="21A67C20"/>
    <w:rsid w:val="21F74F9B"/>
    <w:rsid w:val="21F9057B"/>
    <w:rsid w:val="22112055"/>
    <w:rsid w:val="22324CB5"/>
    <w:rsid w:val="22B74F2D"/>
    <w:rsid w:val="22B82F7B"/>
    <w:rsid w:val="22C26460"/>
    <w:rsid w:val="22C85B65"/>
    <w:rsid w:val="22F56091"/>
    <w:rsid w:val="230B572A"/>
    <w:rsid w:val="232A5928"/>
    <w:rsid w:val="2352670C"/>
    <w:rsid w:val="238241AC"/>
    <w:rsid w:val="23AA28DF"/>
    <w:rsid w:val="23C55011"/>
    <w:rsid w:val="23E33906"/>
    <w:rsid w:val="24005A60"/>
    <w:rsid w:val="242C49D7"/>
    <w:rsid w:val="2450538B"/>
    <w:rsid w:val="246175E2"/>
    <w:rsid w:val="249A61D1"/>
    <w:rsid w:val="24D51ABC"/>
    <w:rsid w:val="250A5B28"/>
    <w:rsid w:val="252961B2"/>
    <w:rsid w:val="25361C84"/>
    <w:rsid w:val="253E6483"/>
    <w:rsid w:val="25611BF5"/>
    <w:rsid w:val="25686B50"/>
    <w:rsid w:val="25701AB2"/>
    <w:rsid w:val="25BB12E0"/>
    <w:rsid w:val="25E01997"/>
    <w:rsid w:val="25ED117E"/>
    <w:rsid w:val="25ED4D79"/>
    <w:rsid w:val="25FE0B85"/>
    <w:rsid w:val="26162050"/>
    <w:rsid w:val="264A3821"/>
    <w:rsid w:val="265A0B9C"/>
    <w:rsid w:val="26674208"/>
    <w:rsid w:val="267311D8"/>
    <w:rsid w:val="26A60310"/>
    <w:rsid w:val="26AE217A"/>
    <w:rsid w:val="26AF7EF5"/>
    <w:rsid w:val="26E40DDE"/>
    <w:rsid w:val="271E6845"/>
    <w:rsid w:val="272215E7"/>
    <w:rsid w:val="276E3537"/>
    <w:rsid w:val="277C6BFA"/>
    <w:rsid w:val="279B5C02"/>
    <w:rsid w:val="27AA27C7"/>
    <w:rsid w:val="27DF3772"/>
    <w:rsid w:val="27F44067"/>
    <w:rsid w:val="280327E1"/>
    <w:rsid w:val="28443F21"/>
    <w:rsid w:val="28632B04"/>
    <w:rsid w:val="28693D1F"/>
    <w:rsid w:val="2884269B"/>
    <w:rsid w:val="28F56F78"/>
    <w:rsid w:val="290D299E"/>
    <w:rsid w:val="290E74FA"/>
    <w:rsid w:val="297E7BA9"/>
    <w:rsid w:val="29EC1016"/>
    <w:rsid w:val="2A0E56A3"/>
    <w:rsid w:val="2A161421"/>
    <w:rsid w:val="2A4F47C3"/>
    <w:rsid w:val="2A7B4F8F"/>
    <w:rsid w:val="2A995AE9"/>
    <w:rsid w:val="2AFD1691"/>
    <w:rsid w:val="2AFE20C4"/>
    <w:rsid w:val="2B10060D"/>
    <w:rsid w:val="2B1B3678"/>
    <w:rsid w:val="2B1D72E1"/>
    <w:rsid w:val="2B2F473B"/>
    <w:rsid w:val="2B3471BE"/>
    <w:rsid w:val="2B437D29"/>
    <w:rsid w:val="2C1B4F27"/>
    <w:rsid w:val="2CBC6906"/>
    <w:rsid w:val="2CE4499C"/>
    <w:rsid w:val="2CE73E38"/>
    <w:rsid w:val="2CF33247"/>
    <w:rsid w:val="2D635C1D"/>
    <w:rsid w:val="2D650F41"/>
    <w:rsid w:val="2D9F2CD5"/>
    <w:rsid w:val="2DD66F69"/>
    <w:rsid w:val="2DE62158"/>
    <w:rsid w:val="2E354173"/>
    <w:rsid w:val="2E483C95"/>
    <w:rsid w:val="2E8C0067"/>
    <w:rsid w:val="2EB413D6"/>
    <w:rsid w:val="2EFB6C2D"/>
    <w:rsid w:val="2F020B4F"/>
    <w:rsid w:val="2F0B65C6"/>
    <w:rsid w:val="2F134645"/>
    <w:rsid w:val="2F167208"/>
    <w:rsid w:val="2F370647"/>
    <w:rsid w:val="2FB938C6"/>
    <w:rsid w:val="2FD744B3"/>
    <w:rsid w:val="2FEA3F07"/>
    <w:rsid w:val="2FED48F3"/>
    <w:rsid w:val="30402D8A"/>
    <w:rsid w:val="30485051"/>
    <w:rsid w:val="307116FF"/>
    <w:rsid w:val="30AE3C1C"/>
    <w:rsid w:val="30B56411"/>
    <w:rsid w:val="30D63399"/>
    <w:rsid w:val="30DB12D9"/>
    <w:rsid w:val="30FA4840"/>
    <w:rsid w:val="315053D6"/>
    <w:rsid w:val="31631CB7"/>
    <w:rsid w:val="31726228"/>
    <w:rsid w:val="31A33394"/>
    <w:rsid w:val="31B607A6"/>
    <w:rsid w:val="31C72039"/>
    <w:rsid w:val="31E901CA"/>
    <w:rsid w:val="32295F8A"/>
    <w:rsid w:val="322E4B88"/>
    <w:rsid w:val="326E2902"/>
    <w:rsid w:val="3296630B"/>
    <w:rsid w:val="329F7D82"/>
    <w:rsid w:val="32B21AE1"/>
    <w:rsid w:val="32BB3048"/>
    <w:rsid w:val="32F66B04"/>
    <w:rsid w:val="33512A18"/>
    <w:rsid w:val="33767A78"/>
    <w:rsid w:val="33B50438"/>
    <w:rsid w:val="33C863F2"/>
    <w:rsid w:val="33E117A5"/>
    <w:rsid w:val="34102459"/>
    <w:rsid w:val="34663947"/>
    <w:rsid w:val="34693E23"/>
    <w:rsid w:val="34C92D38"/>
    <w:rsid w:val="34CC2DB8"/>
    <w:rsid w:val="355042BC"/>
    <w:rsid w:val="3556142F"/>
    <w:rsid w:val="35680F57"/>
    <w:rsid w:val="357D379D"/>
    <w:rsid w:val="358821C9"/>
    <w:rsid w:val="3594399E"/>
    <w:rsid w:val="35CE156D"/>
    <w:rsid w:val="35DE4324"/>
    <w:rsid w:val="36055568"/>
    <w:rsid w:val="360A16FC"/>
    <w:rsid w:val="36117AA3"/>
    <w:rsid w:val="3612602F"/>
    <w:rsid w:val="36264812"/>
    <w:rsid w:val="365014FA"/>
    <w:rsid w:val="36593CDF"/>
    <w:rsid w:val="36A6452C"/>
    <w:rsid w:val="36D92F85"/>
    <w:rsid w:val="370502EC"/>
    <w:rsid w:val="37100E30"/>
    <w:rsid w:val="37456232"/>
    <w:rsid w:val="375201A0"/>
    <w:rsid w:val="37680105"/>
    <w:rsid w:val="37907D03"/>
    <w:rsid w:val="37B45B04"/>
    <w:rsid w:val="37DA3D63"/>
    <w:rsid w:val="380552EC"/>
    <w:rsid w:val="38155882"/>
    <w:rsid w:val="38175C39"/>
    <w:rsid w:val="38603BF2"/>
    <w:rsid w:val="387D4C47"/>
    <w:rsid w:val="38AC6E48"/>
    <w:rsid w:val="38B8449B"/>
    <w:rsid w:val="38E009DC"/>
    <w:rsid w:val="38E30E32"/>
    <w:rsid w:val="3903449A"/>
    <w:rsid w:val="396F1C92"/>
    <w:rsid w:val="39841325"/>
    <w:rsid w:val="39895752"/>
    <w:rsid w:val="39995479"/>
    <w:rsid w:val="39B74075"/>
    <w:rsid w:val="39D645B3"/>
    <w:rsid w:val="3A48010C"/>
    <w:rsid w:val="3A8306DC"/>
    <w:rsid w:val="3AAE0725"/>
    <w:rsid w:val="3AD629C6"/>
    <w:rsid w:val="3B003ABA"/>
    <w:rsid w:val="3B596431"/>
    <w:rsid w:val="3B796F37"/>
    <w:rsid w:val="3BAF3910"/>
    <w:rsid w:val="3BC47C31"/>
    <w:rsid w:val="3BDC1CAA"/>
    <w:rsid w:val="3BF52FE3"/>
    <w:rsid w:val="3C2B73E4"/>
    <w:rsid w:val="3C2E6870"/>
    <w:rsid w:val="3C3475C9"/>
    <w:rsid w:val="3C3F17BF"/>
    <w:rsid w:val="3C4B3935"/>
    <w:rsid w:val="3CD54C1A"/>
    <w:rsid w:val="3CED21F7"/>
    <w:rsid w:val="3CF22457"/>
    <w:rsid w:val="3CF260AF"/>
    <w:rsid w:val="3D2F54FF"/>
    <w:rsid w:val="3D4A1235"/>
    <w:rsid w:val="3DB979A0"/>
    <w:rsid w:val="3E0D78A1"/>
    <w:rsid w:val="3E4127A2"/>
    <w:rsid w:val="3E4E74A4"/>
    <w:rsid w:val="3E503DCA"/>
    <w:rsid w:val="3E533CCB"/>
    <w:rsid w:val="3E561C53"/>
    <w:rsid w:val="3E8B7F6D"/>
    <w:rsid w:val="3EA51ECF"/>
    <w:rsid w:val="3EDE3820"/>
    <w:rsid w:val="3EED3186"/>
    <w:rsid w:val="3F0B5B97"/>
    <w:rsid w:val="3F4746BD"/>
    <w:rsid w:val="3F82491A"/>
    <w:rsid w:val="3FC43667"/>
    <w:rsid w:val="3FC507D6"/>
    <w:rsid w:val="3FC61FA2"/>
    <w:rsid w:val="3FCE6390"/>
    <w:rsid w:val="3FD91987"/>
    <w:rsid w:val="3FF17E4F"/>
    <w:rsid w:val="403529AB"/>
    <w:rsid w:val="403867A1"/>
    <w:rsid w:val="403E3318"/>
    <w:rsid w:val="40A254D7"/>
    <w:rsid w:val="40BE5D1D"/>
    <w:rsid w:val="40D479EE"/>
    <w:rsid w:val="41587639"/>
    <w:rsid w:val="415E7333"/>
    <w:rsid w:val="419A75C7"/>
    <w:rsid w:val="41FC760F"/>
    <w:rsid w:val="42053D89"/>
    <w:rsid w:val="429506F3"/>
    <w:rsid w:val="42AE517E"/>
    <w:rsid w:val="42BD5556"/>
    <w:rsid w:val="42CB583D"/>
    <w:rsid w:val="42F97702"/>
    <w:rsid w:val="43611B84"/>
    <w:rsid w:val="438A413B"/>
    <w:rsid w:val="439D55FC"/>
    <w:rsid w:val="446C2D0B"/>
    <w:rsid w:val="447E15EB"/>
    <w:rsid w:val="4490339C"/>
    <w:rsid w:val="449E0C4F"/>
    <w:rsid w:val="44D55415"/>
    <w:rsid w:val="44DD07B1"/>
    <w:rsid w:val="45471DEB"/>
    <w:rsid w:val="45773E30"/>
    <w:rsid w:val="45925988"/>
    <w:rsid w:val="459E05E8"/>
    <w:rsid w:val="45CD0242"/>
    <w:rsid w:val="45E915CF"/>
    <w:rsid w:val="45FC0602"/>
    <w:rsid w:val="463D4B66"/>
    <w:rsid w:val="46873A40"/>
    <w:rsid w:val="469C5D00"/>
    <w:rsid w:val="46F434BA"/>
    <w:rsid w:val="476E23E8"/>
    <w:rsid w:val="476F3B1E"/>
    <w:rsid w:val="47704770"/>
    <w:rsid w:val="47A146AF"/>
    <w:rsid w:val="47AB2778"/>
    <w:rsid w:val="47AD0D61"/>
    <w:rsid w:val="48016778"/>
    <w:rsid w:val="482571D5"/>
    <w:rsid w:val="484C6D0B"/>
    <w:rsid w:val="489535A1"/>
    <w:rsid w:val="48994EBD"/>
    <w:rsid w:val="48A92441"/>
    <w:rsid w:val="48B007F2"/>
    <w:rsid w:val="48B1421D"/>
    <w:rsid w:val="49DC4ED9"/>
    <w:rsid w:val="49F32848"/>
    <w:rsid w:val="4A14529A"/>
    <w:rsid w:val="4A2E5EB3"/>
    <w:rsid w:val="4AAE347E"/>
    <w:rsid w:val="4AB60AA0"/>
    <w:rsid w:val="4AB823AC"/>
    <w:rsid w:val="4AB860E4"/>
    <w:rsid w:val="4ABE7965"/>
    <w:rsid w:val="4B035ED7"/>
    <w:rsid w:val="4BE768D5"/>
    <w:rsid w:val="4C023BB0"/>
    <w:rsid w:val="4C045A11"/>
    <w:rsid w:val="4C7B1B5E"/>
    <w:rsid w:val="4CBE1E24"/>
    <w:rsid w:val="4D05418A"/>
    <w:rsid w:val="4D29543F"/>
    <w:rsid w:val="4D8313D6"/>
    <w:rsid w:val="4D8C6B58"/>
    <w:rsid w:val="4D9A2DBF"/>
    <w:rsid w:val="4DD4162F"/>
    <w:rsid w:val="4DFD1595"/>
    <w:rsid w:val="4E025110"/>
    <w:rsid w:val="4E246688"/>
    <w:rsid w:val="4E2C3F9C"/>
    <w:rsid w:val="4E721D81"/>
    <w:rsid w:val="4EC12DBB"/>
    <w:rsid w:val="4EF94A14"/>
    <w:rsid w:val="4F166697"/>
    <w:rsid w:val="4F22740C"/>
    <w:rsid w:val="4F6F40F9"/>
    <w:rsid w:val="4FAA5535"/>
    <w:rsid w:val="4FB91C96"/>
    <w:rsid w:val="502F7214"/>
    <w:rsid w:val="50442440"/>
    <w:rsid w:val="50A10DC3"/>
    <w:rsid w:val="50BE53DA"/>
    <w:rsid w:val="50C82551"/>
    <w:rsid w:val="50D02CE7"/>
    <w:rsid w:val="510939CE"/>
    <w:rsid w:val="51135585"/>
    <w:rsid w:val="515F46CB"/>
    <w:rsid w:val="516F7F4C"/>
    <w:rsid w:val="51985ED7"/>
    <w:rsid w:val="51F178FE"/>
    <w:rsid w:val="521F4F54"/>
    <w:rsid w:val="52260D94"/>
    <w:rsid w:val="523462F2"/>
    <w:rsid w:val="52A923B7"/>
    <w:rsid w:val="52D02E4F"/>
    <w:rsid w:val="52D526F7"/>
    <w:rsid w:val="52D57838"/>
    <w:rsid w:val="52E835B2"/>
    <w:rsid w:val="530D088C"/>
    <w:rsid w:val="53317C20"/>
    <w:rsid w:val="53494F55"/>
    <w:rsid w:val="53763052"/>
    <w:rsid w:val="53DF1BB2"/>
    <w:rsid w:val="53E04E93"/>
    <w:rsid w:val="54074760"/>
    <w:rsid w:val="547D7409"/>
    <w:rsid w:val="54AB4D14"/>
    <w:rsid w:val="550E769A"/>
    <w:rsid w:val="552F6010"/>
    <w:rsid w:val="55444878"/>
    <w:rsid w:val="554E1956"/>
    <w:rsid w:val="557746F8"/>
    <w:rsid w:val="55836B99"/>
    <w:rsid w:val="558A78BD"/>
    <w:rsid w:val="558F5E83"/>
    <w:rsid w:val="559C2CA1"/>
    <w:rsid w:val="560B0D26"/>
    <w:rsid w:val="56207301"/>
    <w:rsid w:val="56425576"/>
    <w:rsid w:val="5649547F"/>
    <w:rsid w:val="564A6E1A"/>
    <w:rsid w:val="564E6B15"/>
    <w:rsid w:val="566D6C52"/>
    <w:rsid w:val="56A63C94"/>
    <w:rsid w:val="56BD4DB7"/>
    <w:rsid w:val="56BE5E23"/>
    <w:rsid w:val="56C940F8"/>
    <w:rsid w:val="56D61589"/>
    <w:rsid w:val="57D457F3"/>
    <w:rsid w:val="57E34F53"/>
    <w:rsid w:val="580C0859"/>
    <w:rsid w:val="58180F8F"/>
    <w:rsid w:val="582A74D2"/>
    <w:rsid w:val="58731E0B"/>
    <w:rsid w:val="58A60FDD"/>
    <w:rsid w:val="58B71782"/>
    <w:rsid w:val="58DC0A03"/>
    <w:rsid w:val="59590707"/>
    <w:rsid w:val="595E11E5"/>
    <w:rsid w:val="59A36EAF"/>
    <w:rsid w:val="59D023F7"/>
    <w:rsid w:val="59F47C24"/>
    <w:rsid w:val="5A132075"/>
    <w:rsid w:val="5A2F4E58"/>
    <w:rsid w:val="5A4E44BF"/>
    <w:rsid w:val="5A7050D8"/>
    <w:rsid w:val="5AED31C1"/>
    <w:rsid w:val="5AF31719"/>
    <w:rsid w:val="5B03769C"/>
    <w:rsid w:val="5B193C00"/>
    <w:rsid w:val="5B3A67BD"/>
    <w:rsid w:val="5B8529B4"/>
    <w:rsid w:val="5BC3705B"/>
    <w:rsid w:val="5BDB7AE3"/>
    <w:rsid w:val="5BFE68CB"/>
    <w:rsid w:val="5C0548AD"/>
    <w:rsid w:val="5C08149C"/>
    <w:rsid w:val="5C546AA6"/>
    <w:rsid w:val="5C747067"/>
    <w:rsid w:val="5C82521C"/>
    <w:rsid w:val="5CC95F37"/>
    <w:rsid w:val="5CE8058D"/>
    <w:rsid w:val="5D240087"/>
    <w:rsid w:val="5D3C4542"/>
    <w:rsid w:val="5D621FEC"/>
    <w:rsid w:val="5D7866D8"/>
    <w:rsid w:val="5DEB2191"/>
    <w:rsid w:val="5E0154C7"/>
    <w:rsid w:val="5E0D2039"/>
    <w:rsid w:val="5E1D1F85"/>
    <w:rsid w:val="5E310DBE"/>
    <w:rsid w:val="5E475D38"/>
    <w:rsid w:val="5E523F42"/>
    <w:rsid w:val="5E6B122D"/>
    <w:rsid w:val="5F121846"/>
    <w:rsid w:val="5F1709B9"/>
    <w:rsid w:val="5F53540C"/>
    <w:rsid w:val="5FB40C0A"/>
    <w:rsid w:val="5FC114BC"/>
    <w:rsid w:val="5FCE220C"/>
    <w:rsid w:val="5FE0440E"/>
    <w:rsid w:val="5FE30B7F"/>
    <w:rsid w:val="5FFE6F00"/>
    <w:rsid w:val="60464ED0"/>
    <w:rsid w:val="60576B3A"/>
    <w:rsid w:val="606344BE"/>
    <w:rsid w:val="60FF146B"/>
    <w:rsid w:val="610D5CC7"/>
    <w:rsid w:val="61221626"/>
    <w:rsid w:val="61580BB7"/>
    <w:rsid w:val="6188627F"/>
    <w:rsid w:val="619C41BA"/>
    <w:rsid w:val="62231B07"/>
    <w:rsid w:val="626D650C"/>
    <w:rsid w:val="6278363C"/>
    <w:rsid w:val="62DE3718"/>
    <w:rsid w:val="6301521B"/>
    <w:rsid w:val="6302228F"/>
    <w:rsid w:val="63541AD5"/>
    <w:rsid w:val="63646BF0"/>
    <w:rsid w:val="63982D32"/>
    <w:rsid w:val="648817AB"/>
    <w:rsid w:val="64955CA1"/>
    <w:rsid w:val="64B82E90"/>
    <w:rsid w:val="64C7301A"/>
    <w:rsid w:val="64CC0F13"/>
    <w:rsid w:val="64E24660"/>
    <w:rsid w:val="64E745FF"/>
    <w:rsid w:val="656210C9"/>
    <w:rsid w:val="6583145C"/>
    <w:rsid w:val="658F1668"/>
    <w:rsid w:val="659C012F"/>
    <w:rsid w:val="65A9453B"/>
    <w:rsid w:val="660B7167"/>
    <w:rsid w:val="66124631"/>
    <w:rsid w:val="66C1411E"/>
    <w:rsid w:val="66E57E04"/>
    <w:rsid w:val="66F879FF"/>
    <w:rsid w:val="66FC0DEC"/>
    <w:rsid w:val="67002687"/>
    <w:rsid w:val="674371CD"/>
    <w:rsid w:val="67835302"/>
    <w:rsid w:val="67835700"/>
    <w:rsid w:val="67870F3C"/>
    <w:rsid w:val="67A31437"/>
    <w:rsid w:val="67B67B88"/>
    <w:rsid w:val="67CF26DA"/>
    <w:rsid w:val="67DF4CE0"/>
    <w:rsid w:val="67FA457E"/>
    <w:rsid w:val="688F0788"/>
    <w:rsid w:val="689A7CAF"/>
    <w:rsid w:val="689B638B"/>
    <w:rsid w:val="689B7B2A"/>
    <w:rsid w:val="689C6D09"/>
    <w:rsid w:val="68A11716"/>
    <w:rsid w:val="68C21A44"/>
    <w:rsid w:val="691E03CE"/>
    <w:rsid w:val="6924418D"/>
    <w:rsid w:val="69464963"/>
    <w:rsid w:val="69596BB0"/>
    <w:rsid w:val="69603649"/>
    <w:rsid w:val="69773347"/>
    <w:rsid w:val="69B17CAE"/>
    <w:rsid w:val="69EF1EF1"/>
    <w:rsid w:val="6A3A0195"/>
    <w:rsid w:val="6A4E09FD"/>
    <w:rsid w:val="6ABA11CA"/>
    <w:rsid w:val="6ABE1852"/>
    <w:rsid w:val="6AC5322F"/>
    <w:rsid w:val="6AC965BE"/>
    <w:rsid w:val="6AE759D6"/>
    <w:rsid w:val="6AFA1B10"/>
    <w:rsid w:val="6B27381A"/>
    <w:rsid w:val="6B36397D"/>
    <w:rsid w:val="6BCB45EA"/>
    <w:rsid w:val="6BD41D2E"/>
    <w:rsid w:val="6CB00174"/>
    <w:rsid w:val="6CD82958"/>
    <w:rsid w:val="6D0E0D8D"/>
    <w:rsid w:val="6D4864C0"/>
    <w:rsid w:val="6D655EF1"/>
    <w:rsid w:val="6D773191"/>
    <w:rsid w:val="6D96113A"/>
    <w:rsid w:val="6DDC19EA"/>
    <w:rsid w:val="6DE70E00"/>
    <w:rsid w:val="6E25349B"/>
    <w:rsid w:val="6E4E6A39"/>
    <w:rsid w:val="6EDA6D7F"/>
    <w:rsid w:val="6EDC03C1"/>
    <w:rsid w:val="6EFF196E"/>
    <w:rsid w:val="6F6E38D7"/>
    <w:rsid w:val="6F7A71CB"/>
    <w:rsid w:val="6F8A1499"/>
    <w:rsid w:val="6F944EBA"/>
    <w:rsid w:val="6FBE22B2"/>
    <w:rsid w:val="6FBF7949"/>
    <w:rsid w:val="6FF92900"/>
    <w:rsid w:val="70086816"/>
    <w:rsid w:val="707B5FF6"/>
    <w:rsid w:val="70A24F77"/>
    <w:rsid w:val="70B77B86"/>
    <w:rsid w:val="711043DE"/>
    <w:rsid w:val="71555B01"/>
    <w:rsid w:val="71602CDF"/>
    <w:rsid w:val="718618B7"/>
    <w:rsid w:val="719D2D83"/>
    <w:rsid w:val="71EF2B6D"/>
    <w:rsid w:val="725714F9"/>
    <w:rsid w:val="7274344B"/>
    <w:rsid w:val="72843FA8"/>
    <w:rsid w:val="72C62D8B"/>
    <w:rsid w:val="730500E3"/>
    <w:rsid w:val="732369E9"/>
    <w:rsid w:val="7327535B"/>
    <w:rsid w:val="734845FE"/>
    <w:rsid w:val="736D3BB3"/>
    <w:rsid w:val="73835EEA"/>
    <w:rsid w:val="73BF66AB"/>
    <w:rsid w:val="7415059D"/>
    <w:rsid w:val="741C52FE"/>
    <w:rsid w:val="74315AAE"/>
    <w:rsid w:val="74545BA8"/>
    <w:rsid w:val="74A500DF"/>
    <w:rsid w:val="74A64D2F"/>
    <w:rsid w:val="74BE1301"/>
    <w:rsid w:val="74C340B2"/>
    <w:rsid w:val="74D34FBF"/>
    <w:rsid w:val="74F0541A"/>
    <w:rsid w:val="756103D9"/>
    <w:rsid w:val="75722AC4"/>
    <w:rsid w:val="75A04315"/>
    <w:rsid w:val="75AF085C"/>
    <w:rsid w:val="75B63703"/>
    <w:rsid w:val="75C0302E"/>
    <w:rsid w:val="75F215D9"/>
    <w:rsid w:val="75F91256"/>
    <w:rsid w:val="76151164"/>
    <w:rsid w:val="76341ECB"/>
    <w:rsid w:val="765F5498"/>
    <w:rsid w:val="766E6624"/>
    <w:rsid w:val="76B8186A"/>
    <w:rsid w:val="7716169A"/>
    <w:rsid w:val="775B119C"/>
    <w:rsid w:val="775F71B3"/>
    <w:rsid w:val="77704325"/>
    <w:rsid w:val="77AB572F"/>
    <w:rsid w:val="783346E6"/>
    <w:rsid w:val="783E3F86"/>
    <w:rsid w:val="7843298E"/>
    <w:rsid w:val="78474560"/>
    <w:rsid w:val="7877522C"/>
    <w:rsid w:val="787E1084"/>
    <w:rsid w:val="78D03F23"/>
    <w:rsid w:val="78FB37FC"/>
    <w:rsid w:val="79083F6D"/>
    <w:rsid w:val="792052E3"/>
    <w:rsid w:val="79B74220"/>
    <w:rsid w:val="79C75D90"/>
    <w:rsid w:val="79CF5E50"/>
    <w:rsid w:val="79E05138"/>
    <w:rsid w:val="79E26C2C"/>
    <w:rsid w:val="7A095EBA"/>
    <w:rsid w:val="7A5B097A"/>
    <w:rsid w:val="7AD67C95"/>
    <w:rsid w:val="7AE77744"/>
    <w:rsid w:val="7AEB37E7"/>
    <w:rsid w:val="7B0D3615"/>
    <w:rsid w:val="7B1E6E0D"/>
    <w:rsid w:val="7B4F7695"/>
    <w:rsid w:val="7B5C11E6"/>
    <w:rsid w:val="7B833013"/>
    <w:rsid w:val="7BBB5766"/>
    <w:rsid w:val="7C3224FE"/>
    <w:rsid w:val="7C707BF3"/>
    <w:rsid w:val="7C71180C"/>
    <w:rsid w:val="7CAE55E6"/>
    <w:rsid w:val="7CCC1804"/>
    <w:rsid w:val="7D256C97"/>
    <w:rsid w:val="7D305091"/>
    <w:rsid w:val="7D3D7B4F"/>
    <w:rsid w:val="7D491722"/>
    <w:rsid w:val="7D6A4C5A"/>
    <w:rsid w:val="7D70209D"/>
    <w:rsid w:val="7D9C64FF"/>
    <w:rsid w:val="7DB70375"/>
    <w:rsid w:val="7DDA3E4F"/>
    <w:rsid w:val="7DF9577A"/>
    <w:rsid w:val="7E17456A"/>
    <w:rsid w:val="7E1E5AF2"/>
    <w:rsid w:val="7EC73052"/>
    <w:rsid w:val="7EEB1EA0"/>
    <w:rsid w:val="7EEF3C45"/>
    <w:rsid w:val="7F064FA7"/>
    <w:rsid w:val="7F2660A5"/>
    <w:rsid w:val="7FD327D6"/>
    <w:rsid w:val="7FFE0AFD"/>
    <w:rsid w:val="BBFF2304"/>
    <w:rsid w:val="BFF9FB86"/>
    <w:rsid w:val="FE7E5EB0"/>
    <w:rsid w:val="FFF6C7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32"/>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2">
    <w:name w:val="heading 6"/>
    <w:basedOn w:val="1"/>
    <w:next w:val="1"/>
    <w:qFormat/>
    <w:uiPriority w:val="0"/>
    <w:pPr>
      <w:ind w:left="1600" w:hanging="400"/>
      <w:jc w:val="both"/>
      <w:outlineLvl w:val="5"/>
    </w:pPr>
    <w:rPr>
      <w:rFonts w:ascii="等线" w:eastAsia="等线" w:cs="Times New Roman"/>
      <w:b/>
      <w:sz w:val="21"/>
      <w:szCs w:val="21"/>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宋体" w:hAnsi="宋体" w:eastAsia="宋体" w:cs="宋体"/>
      <w:sz w:val="44"/>
      <w:szCs w:val="44"/>
      <w:lang w:val="zh-CN" w:bidi="zh-CN"/>
    </w:rPr>
  </w:style>
  <w:style w:type="paragraph" w:styleId="5">
    <w:name w:val="Body Text Indent"/>
    <w:basedOn w:val="1"/>
    <w:next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jc w:val="left"/>
    </w:pPr>
    <w:rPr>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2"/>
    <w:basedOn w:val="5"/>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Emphasis"/>
    <w:basedOn w:val="13"/>
    <w:qFormat/>
    <w:uiPriority w:val="0"/>
    <w:rPr>
      <w:i/>
    </w:rPr>
  </w:style>
  <w:style w:type="paragraph" w:customStyle="1" w:styleId="16">
    <w:name w:val="Default"/>
    <w:basedOn w:val="17"/>
    <w:unhideWhenUsed/>
    <w:qFormat/>
    <w:uiPriority w:val="0"/>
    <w:pPr>
      <w:widowControl w:val="0"/>
      <w:autoSpaceDE w:val="0"/>
      <w:autoSpaceDN w:val="0"/>
      <w:adjustRightInd w:val="0"/>
    </w:pPr>
    <w:rPr>
      <w:rFonts w:hint="eastAsia" w:ascii="方正小标宋_GBK" w:hAnsi="方正小标宋_GBK" w:eastAsia="方正小标宋_GBK" w:cs="Cordia New"/>
      <w:color w:val="000000"/>
      <w:sz w:val="24"/>
      <w:szCs w:val="22"/>
      <w:lang w:val="en-US" w:eastAsia="zh-CN" w:bidi="ar-SA"/>
    </w:rPr>
  </w:style>
  <w:style w:type="paragraph" w:customStyle="1" w:styleId="17">
    <w:name w:val="纯文本1"/>
    <w:basedOn w:val="1"/>
    <w:qFormat/>
    <w:uiPriority w:val="0"/>
    <w:pPr>
      <w:textAlignment w:val="baseline"/>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4245</Words>
  <Characters>4363</Characters>
  <Lines>0</Lines>
  <Paragraphs>0</Paragraphs>
  <TotalTime>1</TotalTime>
  <ScaleCrop>false</ScaleCrop>
  <LinksUpToDate>false</LinksUpToDate>
  <CharactersWithSpaces>4365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2019-01-03T17:41:00Z</dcterms:created>
  <dc:creator>lenovo</dc:creator>
  <cp:lastModifiedBy>漠上歌</cp:lastModifiedBy>
  <cp:lastPrinted>2024-12-19T03:08:00Z</cp:lastPrinted>
  <dcterms:modified xsi:type="dcterms:W3CDTF">2025-02-18T03:02:43Z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B6F952BD7F444866A41B3EAED4B5DB77_13</vt:lpwstr>
  </property>
  <property fmtid="{D5CDD505-2E9C-101B-9397-08002B2CF9AE}" pid="4" name="KSOTemplateDocerSaveRecord">
    <vt:lpwstr>eyJoZGlkIjoiMTlkYjQyMjQ5ZTgwNTcyOWY1YWU0MDQ3MjFlNWMyODQiLCJ1c2VySWQiOiIyMDQyMzA5NjEifQ==</vt:lpwstr>
  </property>
</Properties>
</file>