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bookmarkStart w:id="0" w:name="_GoBack"/>
      <w:bookmarkEnd w:id="0"/>
      <w:r>
        <w:rPr>
          <w:rFonts w:hint="eastAsia" w:ascii="方正小标宋简体" w:hAnsi="方正小标宋简体" w:eastAsia="方正小标宋简体" w:cs="方正小标宋简体"/>
          <w:color w:val="000000"/>
          <w:kern w:val="0"/>
          <w:sz w:val="44"/>
          <w:szCs w:val="44"/>
          <w:lang w:val="en-US" w:eastAsia="zh-CN" w:bidi="ar"/>
        </w:rPr>
        <w:t>柳州市退役军人事务局2024年</w:t>
      </w:r>
    </w:p>
    <w:p>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法治政府建设年度报告</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2024年，在市委、市政府的坚强领导下，柳州市退役军人事务局以习近平新时代中国特色社会主义思想为指导，深入学习贯彻习近平法治思想，紧密围绕自治区、柳州市法治政府建设各项工作部署，将法治政府建设融入全市退役军人事务领域工作中，全力推进法治政府建设责任落实、抓好法治宣传教育，为全市退役军人事务工作的高质量发展提供法治保障，现将有关工作情况报告如下：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rPr>
      </w:pPr>
      <w:r>
        <w:rPr>
          <w:rFonts w:hint="eastAsia" w:ascii="黑体" w:hAnsi="黑体" w:eastAsia="黑体" w:cs="黑体"/>
          <w:color w:val="000000"/>
          <w:kern w:val="0"/>
          <w:sz w:val="32"/>
          <w:szCs w:val="32"/>
          <w:lang w:val="en-US" w:eastAsia="zh-CN" w:bidi="ar"/>
        </w:rPr>
        <w:t xml:space="preserve">一、推进法治政府建设的主要举措和成效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0"/>
          <w:sz w:val="32"/>
          <w:szCs w:val="32"/>
          <w:lang w:val="en-US" w:eastAsia="zh-CN" w:bidi="ar"/>
        </w:rPr>
      </w:pPr>
      <w:r>
        <w:rPr>
          <w:rFonts w:hint="eastAsia" w:ascii="楷体" w:hAnsi="楷体" w:eastAsia="楷体" w:cs="楷体"/>
          <w:bCs/>
          <w:color w:val="000000"/>
          <w:kern w:val="2"/>
          <w:sz w:val="32"/>
          <w:szCs w:val="32"/>
          <w:lang w:val="en-US" w:eastAsia="zh-CN" w:bidi="ar-SA"/>
        </w:rPr>
        <w:t>（一）</w:t>
      </w:r>
      <w:r>
        <w:rPr>
          <w:rFonts w:hint="eastAsia" w:ascii="楷体" w:hAnsi="楷体" w:eastAsia="楷体" w:cs="楷体"/>
          <w:color w:val="000000"/>
          <w:kern w:val="0"/>
          <w:sz w:val="32"/>
          <w:szCs w:val="32"/>
          <w:lang w:val="en-US" w:eastAsia="zh-CN" w:bidi="ar"/>
        </w:rPr>
        <w:t>加强组织机构领导。</w:t>
      </w:r>
      <w:r>
        <w:rPr>
          <w:rFonts w:hint="eastAsia" w:ascii="仿宋_GB2312" w:hAnsi="仿宋_GB2312" w:eastAsia="仿宋_GB2312" w:cs="仿宋_GB2312"/>
          <w:b w:val="0"/>
          <w:bCs/>
          <w:color w:val="000000"/>
          <w:kern w:val="0"/>
          <w:sz w:val="32"/>
          <w:szCs w:val="32"/>
          <w:lang w:val="en-US" w:eastAsia="zh-CN" w:bidi="ar"/>
        </w:rPr>
        <w:t>一是认真贯彻落实党政主要负责人履行推进法治建设第一责任人职责，充</w:t>
      </w:r>
      <w:r>
        <w:rPr>
          <w:rFonts w:hint="eastAsia" w:ascii="仿宋_GB2312" w:hAnsi="仿宋_GB2312" w:eastAsia="仿宋_GB2312" w:cs="仿宋_GB2312"/>
          <w:b w:val="0"/>
          <w:bCs/>
          <w:sz w:val="32"/>
          <w:szCs w:val="32"/>
          <w:lang w:val="en-US" w:eastAsia="zh-CN"/>
        </w:rPr>
        <w:t>分发挥法治政府建设领导小组的作用。</w:t>
      </w:r>
      <w:r>
        <w:rPr>
          <w:rFonts w:hint="eastAsia" w:ascii="仿宋_GB2312" w:hAnsi="仿宋_GB2312" w:eastAsia="仿宋_GB2312" w:cs="仿宋_GB2312"/>
          <w:b w:val="0"/>
          <w:bCs/>
          <w:color w:val="000000"/>
          <w:kern w:val="0"/>
          <w:sz w:val="32"/>
          <w:szCs w:val="32"/>
          <w:lang w:val="en-US" w:eastAsia="zh-CN" w:bidi="ar"/>
        </w:rPr>
        <w:t>坚持将法治政府建设工作</w:t>
      </w:r>
      <w:r>
        <w:rPr>
          <w:rFonts w:hint="eastAsia" w:ascii="仿宋_GB2312" w:hAnsi="仿宋_GB2312" w:eastAsia="仿宋_GB2312" w:cs="仿宋_GB2312"/>
          <w:color w:val="000000"/>
          <w:kern w:val="0"/>
          <w:sz w:val="32"/>
          <w:szCs w:val="32"/>
          <w:lang w:val="en-US" w:eastAsia="zh-CN" w:bidi="ar"/>
        </w:rPr>
        <w:t>纳入年度工作议程，与党风廉政、退役安置、抚恤优待等工作同部署、同落实，做到对法治政府建设重要工作亲自部署、重大问题亲自过问、重点环节亲自协调、重要任务亲自督</w:t>
      </w:r>
      <w:r>
        <w:rPr>
          <w:rFonts w:hint="eastAsia" w:ascii="仿宋_GB2312" w:hAnsi="仿宋_GB2312" w:eastAsia="仿宋_GB2312" w:cs="仿宋_GB2312"/>
          <w:b w:val="0"/>
          <w:bCs w:val="0"/>
          <w:color w:val="000000"/>
          <w:kern w:val="0"/>
          <w:sz w:val="32"/>
          <w:szCs w:val="32"/>
          <w:lang w:val="en-US" w:eastAsia="zh-CN" w:bidi="ar"/>
        </w:rPr>
        <w:t>办。二是定期研究部署法治政府建设工作，着力解决法治政府建设中存在的困难</w:t>
      </w:r>
      <w:r>
        <w:rPr>
          <w:rFonts w:hint="eastAsia" w:ascii="仿宋_GB2312" w:hAnsi="仿宋_GB2312" w:eastAsia="仿宋_GB2312" w:cs="仿宋_GB2312"/>
          <w:color w:val="000000"/>
          <w:kern w:val="0"/>
          <w:sz w:val="32"/>
          <w:szCs w:val="32"/>
          <w:lang w:val="en-US" w:eastAsia="zh-CN" w:bidi="ar"/>
        </w:rPr>
        <w:t>和问题。落实法治政府建设情况年度报告制度和党政主要负责人年度述法制度，将法治政府建设工作任务执行情况纳入述职内容。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Cs/>
          <w:color w:val="000000"/>
          <w:kern w:val="2"/>
          <w:sz w:val="32"/>
          <w:szCs w:val="32"/>
          <w:lang w:val="en-US" w:eastAsia="zh-CN" w:bidi="ar-SA"/>
        </w:rPr>
        <w:t>（二）</w:t>
      </w:r>
      <w:r>
        <w:rPr>
          <w:rFonts w:hint="eastAsia" w:ascii="楷体" w:hAnsi="楷体" w:eastAsia="楷体" w:cs="楷体"/>
          <w:color w:val="000000"/>
          <w:kern w:val="0"/>
          <w:sz w:val="32"/>
          <w:szCs w:val="32"/>
          <w:lang w:val="en-US" w:eastAsia="zh-CN" w:bidi="ar"/>
        </w:rPr>
        <w:t>落实学法用法工作。</w:t>
      </w:r>
      <w:r>
        <w:rPr>
          <w:rFonts w:hint="eastAsia" w:ascii="仿宋_GB2312" w:hAnsi="仿宋_GB2312" w:eastAsia="仿宋_GB2312" w:cs="仿宋_GB2312"/>
          <w:b w:val="0"/>
          <w:bCs w:val="0"/>
          <w:color w:val="000000"/>
          <w:kern w:val="0"/>
          <w:sz w:val="32"/>
          <w:szCs w:val="32"/>
          <w:lang w:val="en-US" w:eastAsia="zh-CN" w:bidi="ar"/>
        </w:rPr>
        <w:t>一是全面加强法律法规宣传教育。通过行政例会、理论学习中心组、“三会</w:t>
      </w:r>
      <w:r>
        <w:rPr>
          <w:rFonts w:hint="eastAsia" w:ascii="仿宋_GB2312" w:hAnsi="仿宋_GB2312" w:eastAsia="仿宋_GB2312" w:cs="仿宋_GB2312"/>
          <w:color w:val="000000"/>
          <w:kern w:val="0"/>
          <w:sz w:val="32"/>
          <w:szCs w:val="32"/>
          <w:lang w:val="en-US" w:eastAsia="zh-CN" w:bidi="ar"/>
        </w:rPr>
        <w:t>一课”等多种方式，深入学习《中华人民共和国宪法》《中华人民共和国民法典》《中华人民共和国行政复议法》及《中华人民共和国退役军人保障法》《军人抚恤优待条例》等法律法规。2024年组织干部职工学习法律规章制度6次。组织领导干部参加全市国家工作人员学法用法学习考试，参考率和通过率均达100%。全年举办2期行政执法能力提升培训班，领导干部学法用法理论知识储备和依法行政能力显著提升。二是将学习贯彻习近平法治思想作为重要政治任务。将《习近平法治思想学习纲要》列入《柳州市退役军人事务局领导干部学法用法应知应会清单》，作为党委理论学习中心组和全体干部职工重点学习内容，全年共举办2期法治专题讲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黑体" w:eastAsia="仿宋_GB2312"/>
          <w:sz w:val="32"/>
          <w:szCs w:val="32"/>
          <w:lang w:val="en-US" w:eastAsia="zh-CN"/>
        </w:rPr>
      </w:pPr>
      <w:r>
        <w:rPr>
          <w:rFonts w:hint="eastAsia" w:ascii="楷体" w:hAnsi="楷体" w:eastAsia="楷体" w:cs="楷体"/>
          <w:color w:val="000000"/>
          <w:kern w:val="0"/>
          <w:sz w:val="32"/>
          <w:szCs w:val="32"/>
          <w:lang w:val="en-US" w:eastAsia="zh-CN" w:bidi="ar"/>
        </w:rPr>
        <w:t>（三）</w:t>
      </w:r>
      <w:r>
        <w:rPr>
          <w:rFonts w:hint="eastAsia" w:ascii="楷体" w:hAnsi="楷体" w:eastAsia="楷体" w:cs="楷体"/>
          <w:sz w:val="32"/>
          <w:szCs w:val="32"/>
          <w:lang w:val="en-US" w:eastAsia="zh-CN"/>
        </w:rPr>
        <w:t>健全机构职能体系。</w:t>
      </w:r>
      <w:r>
        <w:rPr>
          <w:rFonts w:hint="eastAsia" w:ascii="仿宋_GB2312" w:hAnsi="黑体" w:eastAsia="仿宋_GB2312"/>
          <w:sz w:val="32"/>
          <w:szCs w:val="32"/>
          <w:lang w:val="en-US" w:eastAsia="zh-CN"/>
        </w:rPr>
        <w:t>认真贯彻落实权责清单制度，全面梳理退役军人事务系统权责清单，根据工作实际情况动态调整清单内容，及时公开发布。委托柳州市</w:t>
      </w:r>
      <w:r>
        <w:rPr>
          <w:rFonts w:hint="eastAsia" w:ascii="仿宋_GB2312" w:hAnsi="仿宋_GB2312" w:eastAsia="仿宋_GB2312" w:cs="仿宋_GB2312"/>
          <w:color w:val="000000"/>
          <w:kern w:val="0"/>
          <w:sz w:val="32"/>
          <w:szCs w:val="32"/>
          <w:lang w:val="en-US" w:eastAsia="zh-CN" w:bidi="ar"/>
        </w:rPr>
        <w:t>行政审批局代理政务服务事项5项</w:t>
      </w:r>
      <w:r>
        <w:rPr>
          <w:rFonts w:hint="eastAsia" w:ascii="仿宋_GB2312" w:hAnsi="黑体" w:eastAsia="仿宋_GB2312"/>
          <w:sz w:val="32"/>
          <w:szCs w:val="32"/>
          <w:lang w:val="en-US" w:eastAsia="zh-CN"/>
        </w:rPr>
        <w:t>，减少办事环节，压缩办理时限，全力推进“高效办成一件事”。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（四）</w:t>
      </w:r>
      <w:r>
        <w:rPr>
          <w:rFonts w:hint="eastAsia" w:ascii="楷体" w:hAnsi="楷体" w:eastAsia="楷体" w:cs="楷体"/>
          <w:b w:val="0"/>
          <w:bCs w:val="0"/>
          <w:color w:val="000000"/>
          <w:kern w:val="0"/>
          <w:sz w:val="32"/>
          <w:szCs w:val="32"/>
          <w:lang w:val="en-US" w:eastAsia="zh-CN" w:bidi="ar"/>
        </w:rPr>
        <w:t>强化依法决策意识。</w:t>
      </w:r>
      <w:r>
        <w:rPr>
          <w:rFonts w:hint="eastAsia" w:ascii="仿宋_GB2312" w:hAnsi="黑体" w:eastAsia="仿宋_GB2312"/>
          <w:sz w:val="32"/>
          <w:szCs w:val="32"/>
          <w:lang w:val="en-US" w:eastAsia="zh-CN"/>
        </w:rPr>
        <w:t>一是规范重大行政决策行为。坚持公开透明，严格执行“三重一大”集体决</w:t>
      </w:r>
      <w:r>
        <w:rPr>
          <w:rFonts w:hint="eastAsia" w:ascii="仿宋_GB2312" w:hAnsi="仿宋_GB2312" w:eastAsia="仿宋_GB2312" w:cs="仿宋_GB2312"/>
          <w:b w:val="0"/>
          <w:bCs w:val="0"/>
          <w:color w:val="000000"/>
          <w:kern w:val="0"/>
          <w:sz w:val="32"/>
          <w:szCs w:val="32"/>
          <w:lang w:val="en-US" w:eastAsia="zh-CN" w:bidi="ar"/>
        </w:rPr>
        <w:t>策，发挥党组、局务</w:t>
      </w:r>
      <w:r>
        <w:rPr>
          <w:rFonts w:hint="eastAsia" w:ascii="仿宋_GB2312" w:hAnsi="仿宋_GB2312" w:eastAsia="仿宋_GB2312" w:cs="仿宋_GB2312"/>
          <w:color w:val="000000"/>
          <w:kern w:val="0"/>
          <w:sz w:val="32"/>
          <w:szCs w:val="32"/>
          <w:lang w:val="en-US" w:eastAsia="zh-CN" w:bidi="ar"/>
        </w:rPr>
        <w:t>会作用，</w:t>
      </w:r>
      <w:r>
        <w:rPr>
          <w:rFonts w:hint="eastAsia" w:ascii="仿宋_GB2312" w:hAnsi="楷体_GB2312" w:eastAsia="仿宋_GB2312" w:cs="楷体_GB2312"/>
          <w:sz w:val="32"/>
          <w:szCs w:val="32"/>
          <w:lang w:val="en-US" w:eastAsia="zh-CN"/>
        </w:rPr>
        <w:t>严格执行重大行政决策集体讨论决定程</w:t>
      </w:r>
      <w:r>
        <w:rPr>
          <w:rFonts w:hint="eastAsia" w:ascii="仿宋_GB2312" w:hAnsi="楷体_GB2312" w:eastAsia="仿宋_GB2312" w:cs="楷体_GB2312"/>
          <w:b w:val="0"/>
          <w:bCs w:val="0"/>
          <w:sz w:val="32"/>
          <w:szCs w:val="32"/>
          <w:lang w:val="en-US" w:eastAsia="zh-CN"/>
        </w:rPr>
        <w:t>序。二是</w:t>
      </w:r>
      <w:r>
        <w:rPr>
          <w:rFonts w:hint="eastAsia" w:ascii="仿宋_GB2312" w:hAnsi="仿宋_GB2312" w:eastAsia="仿宋_GB2312" w:cs="仿宋_GB2312"/>
          <w:b w:val="0"/>
          <w:bCs w:val="0"/>
          <w:color w:val="000000"/>
          <w:kern w:val="0"/>
          <w:sz w:val="32"/>
          <w:szCs w:val="32"/>
          <w:lang w:val="en-US" w:eastAsia="zh-CN" w:bidi="ar"/>
        </w:rPr>
        <w:t>落实政府法律顾问制度。聘请广西都乐律师事务所律师担任法律顾问，充分发挥法律顾问在合法性审查、行政诉讼案件诉讼代理、合同审查等方面的参谋顾问作用，保障我局依法决策、依法行政，全面提升我局行政执法水平，2024年律师参与审核合同30件，审核规范性文件1件，就行政复议作出具体法律意见1件。三是规范管理本部门下发和代市政府草拟的规范性文件。按要求做好规</w:t>
      </w:r>
      <w:r>
        <w:rPr>
          <w:rFonts w:hint="eastAsia" w:ascii="仿宋_GB2312" w:hAnsi="仿宋_GB2312" w:eastAsia="仿宋_GB2312" w:cs="仿宋_GB2312"/>
          <w:color w:val="000000"/>
          <w:kern w:val="0"/>
          <w:sz w:val="32"/>
          <w:szCs w:val="32"/>
          <w:lang w:val="en-US" w:eastAsia="zh-CN" w:bidi="ar"/>
        </w:rPr>
        <w:t>范性文件的审核备案工作，按要求完成政府规章及规范性文件清理工作。2024年，我局制定出台行政规范性文件1件，</w:t>
      </w:r>
      <w:r>
        <w:rPr>
          <w:rFonts w:hint="eastAsia" w:ascii="仿宋_GB2312" w:hAnsi="楷体_GB2312" w:eastAsia="仿宋_GB2312" w:cs="楷体_GB2312"/>
          <w:kern w:val="2"/>
          <w:sz w:val="32"/>
          <w:szCs w:val="32"/>
          <w:lang w:val="en-US" w:eastAsia="zh-CN" w:bidi="ar-SA"/>
        </w:rPr>
        <w:t>按照要求实行“三统一”管理并上报备</w:t>
      </w:r>
      <w:r>
        <w:rPr>
          <w:rFonts w:hint="eastAsia" w:ascii="仿宋_GB2312" w:hAnsi="仿宋_GB2312" w:eastAsia="仿宋_GB2312" w:cs="仿宋_GB2312"/>
          <w:color w:val="000000"/>
          <w:kern w:val="0"/>
          <w:sz w:val="32"/>
          <w:szCs w:val="32"/>
          <w:lang w:val="en-US" w:eastAsia="zh-CN" w:bidi="ar"/>
        </w:rPr>
        <w:t>案，主动向社会公开。全年开展1次党内规范性文件清理自查，2次行政规范性文件清理自查，共清理党内规范性文件3件。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kern w:val="0"/>
          <w:sz w:val="32"/>
          <w:szCs w:val="32"/>
          <w:lang w:val="en-US" w:eastAsia="zh-CN" w:bidi="ar"/>
        </w:rPr>
      </w:pPr>
      <w:r>
        <w:rPr>
          <w:rFonts w:hint="eastAsia" w:ascii="楷体_GB2312" w:hAnsi="黑体" w:eastAsia="楷体_GB2312" w:cs="黑体"/>
          <w:bCs/>
          <w:color w:val="000000"/>
          <w:sz w:val="32"/>
          <w:szCs w:val="32"/>
          <w:lang w:val="en-US" w:eastAsia="zh-CN"/>
        </w:rPr>
        <w:t>（五）依规严格行政执法。</w:t>
      </w:r>
      <w:r>
        <w:rPr>
          <w:rFonts w:hint="eastAsia" w:ascii="仿宋_GB2312" w:hAnsi="仿宋_GB2312" w:eastAsia="仿宋_GB2312" w:cs="仿宋_GB2312"/>
          <w:color w:val="000000"/>
          <w:kern w:val="0"/>
          <w:sz w:val="32"/>
          <w:szCs w:val="32"/>
          <w:lang w:val="en-US" w:eastAsia="zh-CN" w:bidi="ar"/>
        </w:rPr>
        <w:t>加强执法队伍建设，落实严格执行执法公示制度、执法全过程纪律制度、重大执法决定法治审核制度；为进一步规范行政执法行为，根据我局工作实际制定《柳州市退役军人事务局行政执法监督检查办法（试行）》，并于11月开展行政执法监督自查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eastAsia" w:ascii="楷体" w:hAnsi="楷体" w:eastAsia="楷体" w:cs="楷体"/>
          <w:color w:val="000000"/>
          <w:kern w:val="0"/>
          <w:sz w:val="32"/>
          <w:szCs w:val="32"/>
          <w:lang w:val="en-US" w:eastAsia="zh-CN" w:bidi="ar"/>
        </w:rPr>
        <w:t>（六）履行普法责任义务。</w:t>
      </w:r>
      <w:r>
        <w:rPr>
          <w:rFonts w:hint="eastAsia" w:ascii="仿宋_GB2312" w:hAnsi="仿宋_GB2312" w:eastAsia="仿宋_GB2312" w:cs="仿宋_GB2312"/>
          <w:color w:val="000000"/>
          <w:kern w:val="0"/>
          <w:sz w:val="32"/>
          <w:szCs w:val="32"/>
          <w:lang w:val="en-US" w:eastAsia="zh-CN" w:bidi="ar"/>
        </w:rPr>
        <w:t>一是多种形式普法。落实全员普法，采取线上线下相结合，联动宣传的模式，在我局微信公众号和官网对退役军人相关法律法规、政策文</w:t>
      </w:r>
      <w:r>
        <w:rPr>
          <w:rFonts w:hint="eastAsia" w:ascii="仿宋_GB2312" w:hAnsi="仿宋_GB2312" w:eastAsia="仿宋_GB2312" w:cs="仿宋_GB2312"/>
          <w:b w:val="0"/>
          <w:bCs w:val="0"/>
          <w:color w:val="000000"/>
          <w:kern w:val="0"/>
          <w:sz w:val="32"/>
          <w:szCs w:val="32"/>
          <w:lang w:val="en-US" w:eastAsia="zh-CN" w:bidi="ar"/>
        </w:rPr>
        <w:t>件等进行宣传</w:t>
      </w:r>
      <w:r>
        <w:rPr>
          <w:rFonts w:hint="eastAsia" w:ascii="仿宋_GB2312" w:hAnsi="楷体_GB2312" w:eastAsia="仿宋_GB2312" w:cs="楷体_GB2312"/>
          <w:b w:val="0"/>
          <w:bCs w:val="0"/>
          <w:kern w:val="2"/>
          <w:sz w:val="32"/>
          <w:szCs w:val="32"/>
          <w:lang w:val="en-US" w:eastAsia="zh-CN" w:bidi="ar-SA"/>
        </w:rPr>
        <w:t>，</w:t>
      </w:r>
      <w:r>
        <w:rPr>
          <w:rFonts w:hint="eastAsia" w:ascii="仿宋_GB2312" w:hAnsi="仿宋_GB2312" w:eastAsia="仿宋_GB2312" w:cs="仿宋_GB2312"/>
          <w:b w:val="0"/>
          <w:bCs w:val="0"/>
          <w:sz w:val="32"/>
          <w:szCs w:val="32"/>
        </w:rPr>
        <w:t>推动</w:t>
      </w:r>
      <w:r>
        <w:rPr>
          <w:rFonts w:hint="eastAsia" w:ascii="仿宋_GB2312" w:hAnsi="仿宋_GB2312" w:eastAsia="仿宋_GB2312" w:cs="仿宋_GB2312"/>
          <w:b w:val="0"/>
          <w:bCs w:val="0"/>
          <w:sz w:val="32"/>
          <w:szCs w:val="32"/>
          <w:lang w:val="en-US" w:eastAsia="zh-CN"/>
        </w:rPr>
        <w:t>退役军人</w:t>
      </w:r>
      <w:r>
        <w:rPr>
          <w:rFonts w:hint="eastAsia" w:ascii="仿宋_GB2312" w:hAnsi="仿宋_GB2312" w:eastAsia="仿宋_GB2312" w:cs="仿宋_GB2312"/>
          <w:b w:val="0"/>
          <w:bCs w:val="0"/>
          <w:sz w:val="32"/>
          <w:szCs w:val="32"/>
        </w:rPr>
        <w:t>保障法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六进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工作</w:t>
      </w:r>
      <w:r>
        <w:rPr>
          <w:rFonts w:hint="eastAsia" w:ascii="仿宋_GB2312" w:hAnsi="仿宋_GB2312" w:eastAsia="仿宋_GB2312" w:cs="仿宋_GB2312"/>
          <w:b w:val="0"/>
          <w:bCs w:val="0"/>
          <w:color w:val="auto"/>
          <w:sz w:val="32"/>
          <w:szCs w:val="32"/>
        </w:rPr>
        <w:t>。累计</w:t>
      </w:r>
      <w:r>
        <w:rPr>
          <w:rFonts w:hint="eastAsia" w:ascii="仿宋_GB2312" w:hAnsi="仿宋_GB2312" w:eastAsia="仿宋_GB2312" w:cs="仿宋_GB2312"/>
          <w:b w:val="0"/>
          <w:bCs w:val="0"/>
          <w:color w:val="auto"/>
          <w:sz w:val="32"/>
          <w:szCs w:val="32"/>
          <w:lang w:val="en-US" w:eastAsia="zh-CN"/>
        </w:rPr>
        <w:t>发放</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中华人</w:t>
      </w:r>
      <w:r>
        <w:rPr>
          <w:rFonts w:hint="eastAsia" w:ascii="仿宋_GB2312" w:hAnsi="仿宋_GB2312" w:eastAsia="仿宋_GB2312" w:cs="仿宋_GB2312"/>
          <w:color w:val="auto"/>
          <w:sz w:val="32"/>
          <w:szCs w:val="32"/>
          <w:lang w:val="en-US" w:eastAsia="zh-CN"/>
        </w:rPr>
        <w:t>民共和国退役军人</w:t>
      </w:r>
      <w:r>
        <w:rPr>
          <w:rFonts w:hint="eastAsia" w:ascii="仿宋_GB2312" w:hAnsi="仿宋_GB2312" w:eastAsia="仿宋_GB2312" w:cs="仿宋_GB2312"/>
          <w:color w:val="auto"/>
          <w:sz w:val="32"/>
          <w:szCs w:val="32"/>
        </w:rPr>
        <w:t>保障法》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民法典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宣传资料</w:t>
      </w:r>
      <w:r>
        <w:rPr>
          <w:rFonts w:hint="eastAsia" w:ascii="仿宋_GB2312" w:hAnsi="仿宋_GB2312" w:eastAsia="仿宋_GB2312" w:cs="仿宋_GB2312"/>
          <w:color w:val="auto"/>
          <w:sz w:val="32"/>
          <w:szCs w:val="32"/>
          <w:lang w:val="en-US" w:eastAsia="zh-CN"/>
        </w:rPr>
        <w:t>超千</w:t>
      </w:r>
      <w:r>
        <w:rPr>
          <w:rFonts w:hint="eastAsia" w:ascii="仿宋_GB2312" w:hAnsi="仿宋_GB2312" w:eastAsia="仿宋_GB2312" w:cs="仿宋_GB2312"/>
          <w:color w:val="auto"/>
          <w:sz w:val="32"/>
          <w:szCs w:val="32"/>
        </w:rPr>
        <w:t>册</w:t>
      </w:r>
      <w:r>
        <w:rPr>
          <w:rFonts w:hint="eastAsia" w:ascii="仿宋_GB2312" w:hAnsi="仿宋_GB2312" w:eastAsia="仿宋_GB2312" w:cs="仿宋_GB2312"/>
          <w:color w:val="auto"/>
          <w:sz w:val="32"/>
          <w:szCs w:val="32"/>
          <w:lang w:eastAsia="zh-CN"/>
        </w:rPr>
        <w:t>。</w:t>
      </w:r>
      <w:r>
        <w:rPr>
          <w:rFonts w:hint="eastAsia" w:ascii="仿宋_GB2312" w:hAnsi="楷体_GB2312" w:eastAsia="仿宋_GB2312" w:cs="楷体_GB2312"/>
          <w:kern w:val="2"/>
          <w:sz w:val="32"/>
          <w:szCs w:val="32"/>
          <w:lang w:val="en-US" w:eastAsia="zh-CN" w:bidi="ar-SA"/>
        </w:rPr>
        <w:t>开展“乡村法治大讲堂”活动送法下乡，受到广大群众的热烈欢迎，</w:t>
      </w:r>
      <w:r>
        <w:rPr>
          <w:rFonts w:hint="eastAsia" w:ascii="仿宋_GB2312" w:hAnsi="仿宋_GB2312" w:eastAsia="仿宋_GB2312" w:cs="仿宋_GB2312"/>
          <w:sz w:val="32"/>
          <w:szCs w:val="32"/>
        </w:rPr>
        <w:t>营造全社会共同关心和支持退役军人工作的良好氛围</w:t>
      </w:r>
      <w:r>
        <w:rPr>
          <w:rFonts w:hint="eastAsia" w:ascii="仿宋_GB2312" w:hAnsi="仿宋_GB2312" w:eastAsia="仿宋_GB2312" w:cs="仿宋_GB2312"/>
          <w:color w:val="000000"/>
          <w:kern w:val="0"/>
          <w:sz w:val="32"/>
          <w:szCs w:val="32"/>
          <w:lang w:val="en-US" w:eastAsia="zh-CN" w:bidi="ar"/>
        </w:rPr>
        <w:t>。二是融合业务</w:t>
      </w:r>
      <w:r>
        <w:rPr>
          <w:rFonts w:hint="eastAsia" w:ascii="仿宋_GB2312" w:hAnsi="楷体_GB2312" w:eastAsia="仿宋_GB2312" w:cs="楷体_GB2312"/>
          <w:kern w:val="2"/>
          <w:sz w:val="32"/>
          <w:szCs w:val="32"/>
          <w:lang w:val="en-US" w:eastAsia="zh-CN" w:bidi="ar-SA"/>
        </w:rPr>
        <w:t>普法。利用2024年全市政府</w:t>
      </w:r>
      <w:r>
        <w:rPr>
          <w:rFonts w:hint="eastAsia" w:ascii="仿宋_GB2312" w:hAnsi="仿宋_GB2312" w:eastAsia="仿宋_GB2312" w:cs="仿宋_GB2312"/>
          <w:sz w:val="32"/>
          <w:szCs w:val="32"/>
          <w:lang w:val="en-US" w:eastAsia="zh-CN"/>
        </w:rPr>
        <w:t>安排工作退役士兵</w:t>
      </w:r>
      <w:r>
        <w:rPr>
          <w:rFonts w:hint="eastAsia" w:ascii="仿宋_GB2312" w:hAnsi="仿宋_GB2312" w:eastAsia="仿宋_GB2312" w:cs="仿宋_GB2312"/>
          <w:sz w:val="32"/>
          <w:szCs w:val="32"/>
        </w:rPr>
        <w:t>适应性培训</w:t>
      </w:r>
      <w:r>
        <w:rPr>
          <w:rFonts w:hint="eastAsia" w:ascii="仿宋_GB2312" w:hAnsi="仿宋_GB2312" w:eastAsia="仿宋_GB2312" w:cs="仿宋_GB2312"/>
          <w:sz w:val="32"/>
          <w:szCs w:val="32"/>
          <w:lang w:val="en-US" w:eastAsia="zh-CN"/>
        </w:rPr>
        <w:t>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做好</w:t>
      </w:r>
      <w:r>
        <w:rPr>
          <w:rFonts w:hint="eastAsia" w:ascii="仿宋_GB2312" w:hAnsi="楷体_GB2312" w:eastAsia="仿宋_GB2312" w:cs="楷体_GB2312"/>
          <w:kern w:val="2"/>
          <w:sz w:val="32"/>
          <w:szCs w:val="32"/>
          <w:lang w:val="en-US" w:eastAsia="zh-CN" w:bidi="ar-SA"/>
        </w:rPr>
        <w:t>《中华人民共和国退役军人保障法》《退役军人安置条例》等普法宣传工作；结合春秋两季退役军人及军属专场招聘会</w:t>
      </w:r>
      <w:r>
        <w:rPr>
          <w:rFonts w:hint="eastAsia" w:ascii="仿宋_GB2312" w:hAnsi="楷体_GB2312" w:eastAsia="仿宋_GB2312" w:cs="楷体_GB2312"/>
          <w:color w:val="auto"/>
          <w:kern w:val="2"/>
          <w:sz w:val="32"/>
          <w:szCs w:val="32"/>
          <w:lang w:val="en-US" w:eastAsia="zh-CN" w:bidi="ar-SA"/>
        </w:rPr>
        <w:t>做好</w:t>
      </w:r>
      <w:r>
        <w:rPr>
          <w:rFonts w:hint="eastAsia" w:ascii="仿宋_GB2312" w:hAnsi="楷体_GB2312" w:eastAsia="仿宋_GB2312" w:cs="楷体_GB2312"/>
          <w:kern w:val="2"/>
          <w:sz w:val="32"/>
          <w:szCs w:val="32"/>
          <w:lang w:val="en-US" w:eastAsia="zh-CN" w:bidi="ar-SA"/>
        </w:rPr>
        <w:t>退役军人就业创业优惠政策宣讲；</w:t>
      </w:r>
      <w:r>
        <w:rPr>
          <w:rFonts w:hint="eastAsia" w:ascii="仿宋_GB2312" w:hAnsi="仿宋_GB2312" w:eastAsia="仿宋_GB2312" w:cs="仿宋_GB2312"/>
          <w:sz w:val="32"/>
          <w:szCs w:val="32"/>
          <w:lang w:val="en-US" w:eastAsia="zh-CN"/>
        </w:rPr>
        <w:t>积极</w:t>
      </w:r>
      <w:r>
        <w:rPr>
          <w:rFonts w:hint="eastAsia" w:ascii="仿宋_GB2312" w:hAnsi="仿宋_GB2312" w:eastAsia="仿宋_GB2312" w:cs="仿宋_GB2312"/>
          <w:sz w:val="32"/>
          <w:szCs w:val="32"/>
        </w:rPr>
        <w:t>向优抚对象宣传抚恤补助政策，严格按照标准发放待遇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有序推进退役军人优待证申领发放和政策宣传工作，</w:t>
      </w:r>
      <w:r>
        <w:rPr>
          <w:rFonts w:hint="eastAsia" w:ascii="仿宋_GB2312" w:hAnsi="仿宋_GB2312" w:eastAsia="仿宋_GB2312" w:cs="仿宋_GB2312"/>
          <w:sz w:val="32"/>
          <w:szCs w:val="32"/>
          <w:lang w:val="en-US" w:eastAsia="zh-CN"/>
        </w:rPr>
        <w:t>2023年至今</w:t>
      </w:r>
      <w:r>
        <w:rPr>
          <w:rFonts w:hint="eastAsia" w:ascii="仿宋_GB2312" w:hAnsi="仿宋_GB2312" w:eastAsia="仿宋_GB2312" w:cs="仿宋_GB2312"/>
          <w:sz w:val="32"/>
          <w:szCs w:val="32"/>
        </w:rPr>
        <w:t>累计发放优待证</w:t>
      </w:r>
      <w:r>
        <w:rPr>
          <w:rFonts w:hint="eastAsia" w:ascii="仿宋_GB2312" w:hAnsi="仿宋_GB2312" w:eastAsia="仿宋_GB2312" w:cs="仿宋_GB2312"/>
          <w:sz w:val="32"/>
          <w:szCs w:val="32"/>
          <w:lang w:val="en-US" w:eastAsia="zh-CN"/>
        </w:rPr>
        <w:t>超70000</w:t>
      </w:r>
      <w:r>
        <w:rPr>
          <w:rFonts w:hint="eastAsia" w:ascii="仿宋_GB2312" w:hAnsi="仿宋_GB2312" w:eastAsia="仿宋_GB2312" w:cs="仿宋_GB2312"/>
          <w:sz w:val="32"/>
          <w:szCs w:val="32"/>
        </w:rPr>
        <w:t>张</w:t>
      </w:r>
      <w:r>
        <w:rPr>
          <w:rFonts w:hint="eastAsia" w:ascii="仿宋_GB2312" w:hAnsi="仿宋_GB2312" w:eastAsia="仿宋_GB2312" w:cs="仿宋_GB2312"/>
          <w:color w:val="000000"/>
          <w:kern w:val="0"/>
          <w:sz w:val="32"/>
          <w:szCs w:val="32"/>
          <w:lang w:val="en-US" w:eastAsia="zh-CN" w:bidi="ar"/>
        </w:rPr>
        <w:t>。三是突出重点普法。积极探索爱国主义宣传教育与学校课堂的有机结合，2024年联合柳州市致柳特殊教育学校、柳州市第十五中学、柳</w:t>
      </w:r>
      <w:r>
        <w:rPr>
          <w:rFonts w:hint="eastAsia" w:ascii="仿宋_GB2312" w:hAnsi="仿宋_GB2312" w:eastAsia="仿宋_GB2312" w:cs="仿宋_GB2312"/>
          <w:sz w:val="32"/>
          <w:szCs w:val="32"/>
          <w:lang w:val="en-US" w:eastAsia="zh-CN"/>
        </w:rPr>
        <w:t>州工学院等单位</w:t>
      </w:r>
      <w:r>
        <w:rPr>
          <w:rFonts w:hint="eastAsia" w:ascii="仿宋_GB2312" w:hAnsi="仿宋_GB2312" w:eastAsia="仿宋_GB2312" w:cs="仿宋_GB2312"/>
          <w:sz w:val="32"/>
          <w:szCs w:val="32"/>
        </w:rPr>
        <w:t>共同举办</w:t>
      </w:r>
      <w:r>
        <w:rPr>
          <w:rFonts w:hint="eastAsia" w:ascii="仿宋_GB2312" w:hAnsi="仿宋_GB2312" w:eastAsia="仿宋_GB2312" w:cs="仿宋_GB2312"/>
          <w:sz w:val="32"/>
          <w:szCs w:val="32"/>
          <w:lang w:val="en-US" w:eastAsia="zh-CN"/>
        </w:rPr>
        <w:t>国防教育进校园活动，</w:t>
      </w:r>
      <w:r>
        <w:rPr>
          <w:rFonts w:hint="eastAsia" w:ascii="仿宋_GB2312" w:hAnsi="仿宋_GB2312" w:eastAsia="仿宋_GB2312" w:cs="仿宋_GB2312"/>
          <w:sz w:val="32"/>
          <w:szCs w:val="32"/>
        </w:rPr>
        <w:t>累计</w:t>
      </w:r>
      <w:r>
        <w:rPr>
          <w:rFonts w:hint="eastAsia" w:ascii="仿宋_GB2312" w:hAnsi="仿宋_GB2312" w:eastAsia="仿宋_GB2312" w:cs="仿宋_GB2312"/>
          <w:sz w:val="32"/>
          <w:szCs w:val="32"/>
          <w:lang w:val="en-US" w:eastAsia="zh-CN"/>
        </w:rPr>
        <w:t>参与人数达5000</w:t>
      </w:r>
      <w:r>
        <w:rPr>
          <w:rFonts w:hint="eastAsia" w:ascii="仿宋_GB2312" w:hAnsi="仿宋_GB2312" w:eastAsia="仿宋_GB2312" w:cs="仿宋_GB2312"/>
          <w:sz w:val="32"/>
          <w:szCs w:val="32"/>
        </w:rPr>
        <w:t>人次。</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color w:val="000000"/>
          <w:kern w:val="0"/>
          <w:sz w:val="32"/>
          <w:szCs w:val="32"/>
          <w:lang w:val="en-US" w:eastAsia="zh-CN" w:bidi="ar"/>
        </w:rPr>
        <w:t>（七）健全行政权力监督。</w:t>
      </w:r>
      <w:r>
        <w:rPr>
          <w:rFonts w:hint="eastAsia" w:ascii="仿宋_GB2312" w:hAnsi="仿宋_GB2312" w:eastAsia="仿宋_GB2312" w:cs="仿宋_GB2312"/>
          <w:color w:val="auto"/>
          <w:kern w:val="0"/>
          <w:sz w:val="32"/>
          <w:szCs w:val="32"/>
          <w:lang w:val="en-US" w:eastAsia="zh-CN" w:bidi="ar"/>
        </w:rPr>
        <w:t>一是强化政务信息公开工作。严格执行《中华人民共和国政府信息公开条例》，坚持以公开为常态、不公开为例外的原则，及时更新工作动态，公开政策文件、人事任免、财政信息，年度报告等内容，自觉接受人大监督、民主监督。充分利用线上渠道接收退役军人问题咨询，接受社会公众监督。2024年，12345政务服务便民热线共受理业务咨询60件，及时办结率100%；门户网站信箱受理问题咨询48条，回复率达100%。二是社会矛盾纠纷依法有效化解。按照信访法治化要求做好矛盾纠纷调解、化解，力争把矛盾纠纷化解在基层。积极践行“枫桥经验”“浦江经验</w:t>
      </w:r>
      <w:r>
        <w:rPr>
          <w:rFonts w:hint="eastAsia" w:hAnsi="仿宋_GB2312" w:cs="仿宋_GB2312"/>
          <w:color w:val="auto"/>
          <w:kern w:val="0"/>
          <w:sz w:val="32"/>
          <w:szCs w:val="32"/>
          <w:lang w:val="en-US" w:eastAsia="zh-CN" w:bidi="ar"/>
        </w:rPr>
        <w:t>”</w:t>
      </w:r>
      <w:r>
        <w:rPr>
          <w:rFonts w:hint="eastAsia" w:ascii="仿宋_GB2312" w:hAnsi="仿宋_GB2312" w:eastAsia="仿宋_GB2312" w:cs="仿宋_GB2312"/>
          <w:color w:val="auto"/>
          <w:kern w:val="0"/>
          <w:sz w:val="32"/>
          <w:szCs w:val="32"/>
          <w:lang w:val="en-US" w:eastAsia="zh-CN" w:bidi="ar"/>
        </w:rPr>
        <w:t>，建立常态化联系退役军人工作机制，走入基层、走入服务对象排查矛盾纠纷，不断探索社会矛盾纠纷多元预防调处工作方法，依法维护退役军人合法权益。2024年以来，我局退役军人之家接待大厅接待来信来访532件</w:t>
      </w:r>
      <w:r>
        <w:rPr>
          <w:rFonts w:hint="eastAsia" w:hAnsi="仿宋_GB2312" w:cs="仿宋_GB2312"/>
          <w:color w:val="auto"/>
          <w:kern w:val="0"/>
          <w:sz w:val="32"/>
          <w:szCs w:val="32"/>
          <w:lang w:val="en-US" w:eastAsia="zh-CN" w:bidi="ar"/>
        </w:rPr>
        <w:t>，</w:t>
      </w:r>
      <w:r>
        <w:rPr>
          <w:rFonts w:hint="eastAsia" w:ascii="仿宋_GB2312" w:hAnsi="仿宋_GB2312" w:eastAsia="仿宋_GB2312" w:cs="仿宋_GB2312"/>
          <w:color w:val="auto"/>
          <w:kern w:val="0"/>
          <w:sz w:val="32"/>
          <w:szCs w:val="32"/>
          <w:lang w:val="en-US" w:eastAsia="zh-CN" w:bidi="ar"/>
        </w:rPr>
        <w:t>714人次，信访事项及时受理率和按期答复率100%。</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（八）做好突发事件应对。</w:t>
      </w:r>
      <w:r>
        <w:rPr>
          <w:rFonts w:hint="eastAsia" w:ascii="仿宋_GB2312" w:hAnsi="仿宋_GB2312" w:eastAsia="仿宋_GB2312" w:cs="仿宋_GB2312"/>
          <w:color w:val="000000"/>
          <w:kern w:val="0"/>
          <w:sz w:val="32"/>
          <w:szCs w:val="32"/>
          <w:lang w:val="en-US" w:eastAsia="zh-CN" w:bidi="ar"/>
        </w:rPr>
        <w:t>健全突发事件应对体系，常态化排查化解风险隐患，坚持疏控结合，加强部门联动机制，严格落实法定节假日24小时值班值守制度，实行“零报告”制度，完善突发事件应急预案，明确各级责任，实现重大风险防控，全力维护形势稳定。</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二、存在问题和原因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color w:val="000000"/>
          <w:kern w:val="0"/>
          <w:sz w:val="32"/>
          <w:szCs w:val="32"/>
          <w:lang w:val="en-US" w:eastAsia="zh-CN" w:bidi="ar"/>
        </w:rPr>
        <w:t>我局在推进法治政府建设工作上虽然取得了一定成绩，但还存在一些问题和差距。一是</w:t>
      </w:r>
      <w:r>
        <w:rPr>
          <w:rFonts w:hint="eastAsia" w:ascii="仿宋_GB2312" w:hAnsi="仿宋_GB2312" w:eastAsia="仿宋_GB2312" w:cs="仿宋_GB2312"/>
          <w:sz w:val="32"/>
          <w:szCs w:val="32"/>
          <w:lang w:val="en-US" w:eastAsia="zh-CN"/>
        </w:rPr>
        <w:t>部分干部对普法工作的认识和重视程度不够，没有意识到普法与业务工作的紧密联系；二是由于业务人员变动，工作档案整理有待进一步完善；三是法治宣传内容和形式目前仍较单一，有待进一步丰富。</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三、2025年推进法治政府建设工作计划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（一）严格落实依法行政。</w:t>
      </w:r>
      <w:r>
        <w:rPr>
          <w:rFonts w:hint="eastAsia" w:ascii="仿宋_GB2312" w:hAnsi="仿宋_GB2312" w:eastAsia="仿宋_GB2312" w:cs="仿宋_GB2312"/>
          <w:kern w:val="2"/>
          <w:sz w:val="32"/>
          <w:szCs w:val="32"/>
          <w:lang w:val="en-US" w:eastAsia="zh-CN" w:bidi="ar-SA"/>
        </w:rPr>
        <w:t>认真履行法治</w:t>
      </w:r>
      <w:r>
        <w:rPr>
          <w:rFonts w:hint="eastAsia" w:ascii="仿宋_GB2312" w:hAnsi="仿宋_GB2312" w:eastAsia="仿宋_GB2312" w:cs="仿宋_GB2312"/>
          <w:color w:val="000000"/>
          <w:kern w:val="0"/>
          <w:sz w:val="32"/>
          <w:szCs w:val="32"/>
          <w:lang w:val="en-US" w:eastAsia="zh-CN" w:bidi="ar"/>
        </w:rPr>
        <w:t>政府建设工作责任，规范行政执法行为，加强行政执法监督，将依法行政观念全面贯穿于退役军人事务工作。</w:t>
      </w:r>
    </w:p>
    <w:p>
      <w:pPr>
        <w:pStyle w:val="3"/>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（二）抓好执法队伍建设。</w:t>
      </w:r>
      <w:r>
        <w:rPr>
          <w:rFonts w:hint="eastAsia" w:ascii="仿宋_GB2312" w:hAnsi="仿宋_GB2312" w:eastAsia="仿宋_GB2312" w:cs="仿宋_GB2312"/>
          <w:color w:val="000000"/>
          <w:kern w:val="0"/>
          <w:sz w:val="32"/>
          <w:szCs w:val="32"/>
          <w:lang w:val="en-US" w:eastAsia="zh-CN" w:bidi="ar"/>
        </w:rPr>
        <w:t>提升行政执法工作能力。采取多种方式组织干部职工进行法律法规及业务工作培训，提高学法用法能力及业务素质水平。</w:t>
      </w:r>
    </w:p>
    <w:p>
      <w:pPr>
        <w:pStyle w:val="3"/>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(三)创新普法宣传方式。</w:t>
      </w:r>
      <w:r>
        <w:rPr>
          <w:rFonts w:hint="eastAsia" w:ascii="仿宋_GB2312" w:hAnsi="仿宋_GB2312" w:eastAsia="仿宋_GB2312" w:cs="仿宋_GB2312"/>
          <w:color w:val="000000"/>
          <w:kern w:val="0"/>
          <w:sz w:val="32"/>
          <w:szCs w:val="32"/>
          <w:lang w:val="en-US" w:eastAsia="zh-CN" w:bidi="ar"/>
        </w:rPr>
        <w:t>认真履行普法责任制。明确普法责任科室及责任人，确保全年普法工作落实到位。持续推进退役军人保障法“六进”工作，坚持大众普法与重点普法相结合，提高普法成效。大力拓展互联网普法新阵地，利用微信公众号、官网等媒体平台，积极引导退役军人尊法学法，树立法治新风。</w:t>
      </w:r>
    </w:p>
    <w:p>
      <w:pPr>
        <w:rPr>
          <w:rFonts w:hint="eastAsia" w:ascii="仿宋_GB2312" w:hAnsi="仿宋_GB2312" w:eastAsia="仿宋_GB2312" w:cs="仿宋_GB2312"/>
          <w:color w:val="000000"/>
          <w:kern w:val="0"/>
          <w:sz w:val="32"/>
          <w:szCs w:val="32"/>
          <w:lang w:val="en-US" w:eastAsia="zh-CN" w:bidi="ar"/>
        </w:rPr>
      </w:pPr>
    </w:p>
    <w:p>
      <w:pPr>
        <w:keepNext w:val="0"/>
        <w:keepLines w:val="0"/>
        <w:pageBreakBefore w:val="0"/>
        <w:kinsoku/>
        <w:wordWrap/>
        <w:topLinePunct w:val="0"/>
        <w:bidi w:val="0"/>
        <w:snapToGrid/>
        <w:textAlignment w:val="auto"/>
        <w:rPr>
          <w:rFonts w:hint="eastAsia" w:ascii="仿宋_GB2312" w:hAnsi="仿宋_GB2312" w:eastAsia="仿宋_GB2312" w:cs="仿宋_GB2312"/>
          <w:sz w:val="32"/>
          <w:szCs w:val="32"/>
          <w:lang w:val="en-US" w:eastAsia="zh-CN"/>
        </w:rPr>
      </w:pPr>
    </w:p>
    <w:p>
      <w:pPr>
        <w:pStyle w:val="10"/>
        <w:keepNext w:val="0"/>
        <w:keepLines w:val="0"/>
        <w:pageBreakBefore w:val="0"/>
        <w:kinsoku/>
        <w:wordWrap/>
        <w:topLinePunct w:val="0"/>
        <w:bidi w:val="0"/>
        <w:snapToGrid/>
        <w:jc w:val="left"/>
        <w:textAlignment w:val="auto"/>
        <w:rPr>
          <w:rFonts w:hint="default"/>
          <w:lang w:val="en-US" w:eastAsia="zh-CN"/>
        </w:rPr>
      </w:pPr>
    </w:p>
    <w:p>
      <w:pPr>
        <w:rPr>
          <w:rFonts w:hint="default"/>
          <w:lang w:val="en-US" w:eastAsia="zh-CN"/>
        </w:rPr>
      </w:pPr>
    </w:p>
    <w:sectPr>
      <w:footerReference r:id="rId3" w:type="default"/>
      <w:pgSz w:w="11906" w:h="16838"/>
      <w:pgMar w:top="1701"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4"/>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3ZDA3YjM4Y2Y3ZTU3YjZmOTE1NmY3ZTIyMjIxYWQifQ=="/>
    <w:docVar w:name="KSO_WPS_MARK_KEY" w:val="2bdb230c-3b2a-4f29-a379-6780ce9dd3a5"/>
  </w:docVars>
  <w:rsids>
    <w:rsidRoot w:val="1A0A030A"/>
    <w:rsid w:val="1A0A030A"/>
    <w:rsid w:val="1BF6136C"/>
    <w:rsid w:val="358160C2"/>
    <w:rsid w:val="67F1654F"/>
    <w:rsid w:val="7F424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line="413" w:lineRule="auto"/>
      <w:outlineLvl w:val="1"/>
    </w:pPr>
    <w:rPr>
      <w:rFonts w:ascii="Arial" w:hAnsi="Arial" w:eastAsia="黑体"/>
      <w:b/>
      <w:sz w:val="32"/>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Default"/>
    <w:next w:val="1"/>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10">
    <w:name w:val="Title1"/>
    <w:basedOn w:val="1"/>
    <w:next w:val="1"/>
    <w:qFormat/>
    <w:uiPriority w:val="0"/>
    <w:pPr>
      <w:jc w:val="center"/>
      <w:outlineLvl w:val="0"/>
    </w:pPr>
    <w:rPr>
      <w:rFonts w:ascii="Calibri Light" w:hAnsi="Calibri Light" w:eastAsia="宋体" w:cs="Times New Roman"/>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2024-12-17T15:04:00Z</dcterms:created>
  <dc:creator>Deeeeeeep</dc:creator>
  <cp:lastModifiedBy>gxxc</cp:lastModifiedBy>
  <dcterms:modified xsi:type="dcterms:W3CDTF">2025-02-24T11:47:31Z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914B6433303D4C21BB0C259DB7B8E57E_11</vt:lpwstr>
  </property>
</Properties>
</file>