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2"/>
        <w:gridCol w:w="186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08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32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kern w:val="0"/>
                <w:sz w:val="28"/>
              </w:rPr>
              <w:t>2023年5月份市国资委监管企业财务状况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0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单位：亿元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项目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本年累计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</w:rPr>
              <w:t>同比增减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1.资产总额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6,190.71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2.负债总额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4,170.14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3.所有者权益总额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2,020.57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4.营业收入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126.61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-2.67%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5.利润总额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2.33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18.97%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6.固定资产投资额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60.96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-42.25%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7.应交税费总额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5.52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7.74%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8.劳动生产总值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17.99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-0.43%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9.职工薪酬（不含劳务派遣费用）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7.24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-8.17%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其中：职工工资总额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4.96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-10.76%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4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10.职工人数（人）（不含劳务派遣人员）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18,697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-3.39%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（截至2023年5月31日）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51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2023-06-14T07:59:00Z</dcterms:created>
  <dc:creator>Administrator</dc:creator>
  <cp:lastModifiedBy>Administrator</cp:lastModifiedBy>
  <dcterms:modified xsi:type="dcterms:W3CDTF">2023-06-14T07:59:40Z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